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jc w:val="center"/>
      </w:pPr>
      <w:r>
        <w:rPr>
          <w:b/>
          <w:bCs/>
        </w:rPr>
        <w:t xml:space="preserve">MÉMOIRE TECHNIQUE</w:t>
      </w:r>
    </w:p>
    <w:p>
      <w:pPr>
        <w:spacing w:after="400"/>
        <w:jc w:val="center"/>
      </w:pPr>
      <w:r>
        <w:rPr>
          <w:i/>
          <w:iCs/>
        </w:rPr>
        <w:t xml:space="preserve">Construction d'une école élémentaire — lot gros œuvre — Commune type — exemple fictif</w:t>
      </w:r>
    </w:p>
    <w:p>
      <w:pPr>
        <w:spacing w:after="200"/>
        <w:jc w:val="center"/>
      </w:pPr>
      <w:r>
        <w:rPr>
          <w:b/>
          <w:bCs/>
          <w:color w:val="d97706"/>
          <w:sz w:val="22"/>
          <w:szCs w:val="22"/>
        </w:rPr>
        <w:t xml:space="preserve">── EXEMPLE FICTIF — STRUCTURE TYPE ──</w:t>
      </w:r>
    </w:p>
    <w:p>
      <w:pPr>
        <w:spacing w:after="600"/>
        <w:jc w:val="center"/>
      </w:pPr>
      <w:r>
        <w:rPr>
          <w:i/>
          <w:iCs/>
          <w:color w:val="8b8b8b"/>
          <w:sz w:val="18"/>
          <w:szCs w:val="18"/>
        </w:rPr>
        <w:t xml:space="preserve">Squelette d'exemple secteur "BTP — Gros œuvre". L'entité "Société Exemple Maçonnerie", le SIREN, l'acheteur et les références sont des données inventées à des fins d'illustration. Le dossier réellement généré sur votre AO sera entièrement personnalisé à partir du DCE chargé et de votre mémoire d'entreprise.</w:t>
      </w:r>
    </w:p>
    <w:p>
      <w:pPr>
        <w:pStyle w:val="Heading1"/>
        <w:spacing w:after="200" w:before="400"/>
      </w:pPr>
      <w:r>
        <w:rPr>
          <w:b/>
          <w:bCs/>
          <w:color w:val="d97706"/>
        </w:rPr>
        <w:t xml:space="preserve">Identification du candidat (exemple fictif)</w:t>
      </w:r>
    </w:p>
    <w:p>
      <w:pPr>
        <w:spacing w:after="200"/>
      </w:pPr>
      <w:r>
        <w:t xml:space="preserve">Raison sociale : Société Exemple Maçonnerie</w:t>
      </w:r>
    </w:p>
    <w:p>
      <w:pPr>
        <w:spacing w:after="200"/>
      </w:pPr>
      <w:r>
        <w:t xml:space="preserve">SIREN : 234 567 891 (SIREN d'exemple)</w:t>
      </w:r>
    </w:p>
    <w:p>
      <w:pPr>
        <w:spacing w:after="200"/>
      </w:pPr>
      <w:r>
        <w:t xml:space="preserve">Code NAF : 43.99C</w:t>
      </w:r>
    </w:p>
    <w:p>
      <w:pPr>
        <w:spacing w:after="200"/>
      </w:pPr>
      <w:r>
        <w:t xml:space="preserve">Effectif : 32 ETP</w:t>
      </w:r>
    </w:p>
    <w:p>
      <w:pPr>
        <w:spacing w:after="200"/>
      </w:pPr>
      <w:r>
        <w:t xml:space="preserve">Capacités principales : Gros œuvre béton armé, Maçonnerie ERP, Réhabilitation lourde.</w:t>
      </w:r>
    </w:p>
    <w:p>
      <w:pPr>
        <w:spacing w:after="200"/>
      </w:pPr>
      <w:r>
        <w:t xml:space="preserve">Pouvoir adjudicateur : Commune type — exemple fictif</w:t>
      </w:r>
    </w:p>
    <w:p>
      <w:pPr>
        <w:spacing w:after="200"/>
      </w:pPr>
      <w:r>
        <w:t xml:space="preserve">Procédure : Procédure formalisée — appel d'offres ouvert</w:t>
      </w:r>
    </w:p>
    <w:p>
      <w:pPr>
        <w:spacing w:after="200"/>
      </w:pPr>
      <w:r>
        <w:t xml:space="preserve">Budget estimé : 850 000 € HT</w:t>
      </w:r>
    </w:p>
    <w:p>
      <w:pPr>
        <w:spacing w:after="200"/>
      </w:pPr>
      <w:r>
        <w:t xml:space="preserve">Date limite de remise : 30/11/2026</w:t>
      </w:r>
    </w:p>
    <w:p>
      <w:pPr>
        <w:pStyle w:val="Heading1"/>
        <w:spacing w:after="200" w:before="400"/>
      </w:pPr>
      <w:r>
        <w:rPr>
          <w:b/>
          <w:bCs/>
          <w:color w:val="d97706"/>
        </w:rPr>
        <w:t xml:space="preserve">1. Présentation du candidat</w:t>
      </w:r>
    </w:p>
    <w:p>
      <w:pPr>
        <w:spacing w:after="200"/>
      </w:pPr>
      <w:r>
        <w:t xml:space="preserve">Société Exemple Maçonnerie, SAS au capital de 250 000 €, est une entreprise de gros œuvre intervenant principalement sur les marchés publics régionaux (communes, EPCI, conseils départementaux). Avec 32 collaborateurs en CDI dont 4 chefs de chantier et 1 conducteur de travaux titulaire d'un diplôme d'ingénieur, nous réalisons en moyenne 6 à 8 chantiers structurants par an, pour un chiffre d'affaires consolidé de l'ordre de 7,5 M€ HT.</w:t>
      </w:r>
    </w:p>
    <w:p>
      <w:pPr>
        <w:spacing w:after="200"/>
      </w:pPr>
      <w:r>
        <w:t xml:space="preserve">L'entreprise est titulaire des qualifications QUALIBAT 2112 (gros œuvre — technicité confirmée) et QUALIBAT 2194 (réhabilitation), renouvelées annuellement. Nous intervenons régulièrement sur des opérations comparables (groupes scolaires, gymnases, bâtiments tertiaires) dans une fourchette 500 k€ – 1,5 M€ HT.</w:t>
      </w:r>
    </w:p>
    <w:p>
      <w:pPr>
        <w:pStyle w:val="Heading1"/>
        <w:spacing w:after="200" w:before="400"/>
      </w:pPr>
      <w:r>
        <w:rPr>
          <w:b/>
          <w:bCs/>
          <w:color w:val="d97706"/>
        </w:rPr>
        <w:t xml:space="preserve">2. Compréhension du besoin</w:t>
      </w:r>
    </w:p>
    <w:p>
      <w:pPr>
        <w:spacing w:after="200"/>
      </w:pPr>
      <w:r>
        <w:t xml:space="preserve">Le marché porte sur la construction du lot gros œuvre d'une école élémentaire de 6 classes (~1 100 m² SP) sur deux niveaux, ossature béton armé sur fondations superficielles. La durée d'exécution prévisionnelle est de 9 mois, avec démarrage envisagé au T1 2027.</w:t>
      </w:r>
    </w:p>
    <w:p>
      <w:pPr>
        <w:spacing w:after="200"/>
      </w:pPr>
      <w:r>
        <w:t xml:space="preserve">Les enjeux structurants identifiés à la lecture du CCTP et du PRO :</w:t>
      </w:r>
    </w:p>
    <w:p>
      <w:pPr>
        <w:spacing w:after="200"/>
      </w:pPr>
      <w:r>
        <w:t xml:space="preserve">• respect des exigences sismiques zone 2 (Eurocode 8) et thermiques RE 2020 ;</w:t>
      </w:r>
    </w:p>
    <w:p>
      <w:pPr>
        <w:spacing w:after="200"/>
      </w:pPr>
      <w:r>
        <w:t xml:space="preserve">• coordination étroite avec les lots techniques (CVC, électricité, second œuvre) sur la phase clos-couvert ;</w:t>
      </w:r>
    </w:p>
    <w:p>
      <w:pPr>
        <w:spacing w:after="200"/>
      </w:pPr>
      <w:r>
        <w:t xml:space="preserve">• gestion des nuisances en milieu péri-urbain (bruit, poussières, circulation engins) ;</w:t>
      </w:r>
    </w:p>
    <w:p>
      <w:pPr>
        <w:spacing w:after="200"/>
      </w:pPr>
      <w:r>
        <w:t xml:space="preserve">• traçabilité des déchets de chantier conformément à la réglementation Trackdéchets.</w:t>
      </w:r>
    </w:p>
    <w:p>
      <w:pPr>
        <w:pStyle w:val="Heading1"/>
        <w:spacing w:after="200" w:before="400"/>
      </w:pPr>
      <w:r>
        <w:rPr>
          <w:b/>
          <w:bCs/>
          <w:color w:val="d97706"/>
        </w:rPr>
        <w:t xml:space="preserve">3. Méthodologie d'exécution</w:t>
      </w:r>
    </w:p>
    <w:p>
      <w:pPr>
        <w:spacing w:after="200"/>
      </w:pPr>
      <w:r>
        <w:t xml:space="preserve">Nous proposons un phasage en 7 étapes calibré sur 9 mois calendaires : installation et terrassements (M1), fondations et longrines (M2), dallage RDC et élévations RDC (M3-M4), plancher haut RDC et élévations R+1 (M5-M6), plancher haut R+1 et acrotères (M7), reprises et finitions gros œuvre (M8), repli et levée de réserves (M9).</w:t>
      </w:r>
    </w:p>
    <w:p>
      <w:pPr>
        <w:spacing w:after="200"/>
      </w:pPr>
      <w:r>
        <w:t xml:space="preserve">Le béton sera approvisionné en BPE (centrale agréée NF EN 206/CN, classe d'exposition XC1/XC4 selon localisation), avec contrôle d'épreuves d'information sur prélèvements à la livraison conformément au DTU 21 (NF P18-201) — exécution des ouvrages en béton. Les armatures HA seront fournies certifiées NF AFCAB. Un plan d'assurance qualité (PAQ) sera transmis sous 15 jours après notification, conforme aux exigences du CCAG-Travaux (arrêté du 30 mars 2021).</w:t>
      </w:r>
    </w:p>
    <w:p>
      <w:pPr>
        <w:spacing w:after="200"/>
      </w:pPr>
      <w:r>
        <w:t xml:space="preserve">Conformément à l'art. R4532-2 et suivants du Code du travail, l'opération relevant d'une coordination SPS (présence simultanée de plusieurs entreprises), nous transmettrons un PPSPS au coordonnateur SPS désigné par le maître d'ouvrage avant ouverture du chantier. Les déchets seront triés sur 5 flux (inertes, non-dangereux non-inertes, dangereux, métaux, bois) et tracés via les bordereaux Trackdéchets (décret 2021-321).</w:t>
      </w:r>
    </w:p>
    <w:p>
      <w:pPr>
        <w:pStyle w:val="Heading1"/>
        <w:spacing w:after="200" w:before="400"/>
      </w:pPr>
      <w:r>
        <w:rPr>
          <w:b/>
          <w:bCs/>
          <w:color w:val="d97706"/>
        </w:rPr>
        <w:t xml:space="preserve">4. Moyens humains et matériels</w:t>
      </w:r>
    </w:p>
    <w:p>
      <w:pPr>
        <w:spacing w:after="200"/>
      </w:pPr>
      <w:r>
        <w:t xml:space="preserve">Équipe dédiée : 1 conducteur de travaux (15 ans d'expérience), 1 chef de chantier titulaire AIPR encadrant, 8 maçons coffreurs N3/N4, 2 ferrailleurs, 1 grutier CACES R487 catégorie 1. CV nominatifs joints en annexe 4. Aucune sous-traitance significative prévue ; le lot armatures façonnées sera approvisionné via fournisseur local certifié.</w:t>
      </w:r>
    </w:p>
    <w:p>
      <w:pPr>
        <w:spacing w:after="200"/>
      </w:pPr>
      <w:r>
        <w:t xml:space="preserve">Matériel mobilisé sur site : grue à tour Potain MDT 178 (montage prévu M1), centrale à béton de chantier en secours, banches métalliques Outinord SP, étaiements PERI Multiprop, échafaudages Layher Allround. Engins terrassement loués selon planning (mini-pelle 8t, chargeuse). EPI conformes art. R4323-91 du Code du travail.</w:t>
      </w:r>
    </w:p>
    <w:p>
      <w:pPr>
        <w:pStyle w:val="Heading1"/>
        <w:spacing w:after="200" w:before="400"/>
      </w:pPr>
      <w:r>
        <w:rPr>
          <w:b/>
          <w:bCs/>
          <w:color w:val="d97706"/>
        </w:rPr>
        <w:t xml:space="preserve">5. Démarche qualité, sécurité et environnement</w:t>
      </w:r>
    </w:p>
    <w:p>
      <w:pPr>
        <w:spacing w:after="200"/>
      </w:pPr>
      <w:r>
        <w:t xml:space="preserve">Notre système qualité est structuré autour d'un PAQ par chantier, de fiches d'auto-contrôle (coffrage, ferraillage, bétonnage) et de contrôles externes par le bureau d'étude structure du maître d'œuvre. Nous appliquons le référentiel QUALIBAT en interne (audits annuels) et ciblons un taux de non-conformités structurelles inférieur à 1 % sur prélèvements béton.</w:t>
      </w:r>
    </w:p>
    <w:p>
      <w:pPr>
        <w:spacing w:after="200"/>
      </w:pPr>
      <w:r>
        <w:t xml:space="preserve">Sur le volet sécurité, notre taux de fréquence accidents 2025 est de 14,2 (donnée auditable, médiane FFB ~28). Tous les compagnons sont SST ou ont suivi le module sécurité chantier. Sur le volet environnemental, nous appliquons la nomenclature 17 (déchets de construction et démolition) du décret 2021-321, avec un taux de valorisation matière 2025 de 73 % (déclaration Trackdéchets).</w:t>
      </w:r>
    </w:p>
    <w:p>
      <w:pPr>
        <w:pStyle w:val="Heading1"/>
        <w:spacing w:after="200" w:before="400"/>
      </w:pPr>
      <w:r>
        <w:rPr>
          <w:b/>
          <w:bCs/>
          <w:color w:val="d97706"/>
        </w:rPr>
        <w:t xml:space="preserve">6. Références récentes (à personnaliser)</w:t>
      </w:r>
    </w:p>
    <w:p>
      <w:pPr>
        <w:spacing w:after="200"/>
      </w:pPr>
      <w:r>
        <w:t xml:space="preserve">Les références ci-dessous sont des exemples fictifs structurels — votre dossier réel intégrera vos vraies références (vérifiables au sens art. R2152-7 CCP) issues de votre mémoire d'entreprise indexée :</w:t>
      </w:r>
    </w:p>
    <w:p>
      <w:pPr>
        <w:spacing w:after="200"/>
      </w:pPr>
      <w:r>
        <w:t xml:space="preserve">• [Pouvoir adjudicateur réel] — [Construction école 5 classes — gros œuvre] — [≈ 720 k€ HT] — [Date réception] — Attestation de bonne exécution disponible.</w:t>
      </w:r>
    </w:p>
    <w:p>
      <w:pPr>
        <w:spacing w:after="200"/>
      </w:pPr>
      <w:r>
        <w:t xml:space="preserve">• [Pouvoir adjudicateur réel] — [Réhabilitation gymnase — structure] — [≈ 980 k€ HT] — [Date réception] — Réception sans réserve.</w:t>
      </w:r>
    </w:p>
    <w:p>
      <w:pPr>
        <w:pStyle w:val="Heading1"/>
        <w:spacing w:after="200" w:before="400"/>
      </w:pPr>
      <w:r>
        <w:rPr>
          <w:b/>
          <w:bCs/>
          <w:color w:val="d97706"/>
        </w:rPr>
        <w:t xml:space="preserve">7. Engagements de service</w:t>
      </w:r>
    </w:p>
    <w:p>
      <w:pPr>
        <w:spacing w:after="200"/>
      </w:pPr>
      <w:r>
        <w:t xml:space="preserve">• Garantie de parfait achèvement : 1 an à compter de la réception (art. 1792-6 du Code civil).</w:t>
      </w:r>
    </w:p>
    <w:p>
      <w:pPr>
        <w:spacing w:after="200"/>
      </w:pPr>
      <w:r>
        <w:t xml:space="preserve">• Garantie biennale de bon fonctionnement : 2 ans sur les éléments d'équipement dissociables (art. 1792-3 du Code civil).</w:t>
      </w:r>
    </w:p>
    <w:p>
      <w:pPr>
        <w:spacing w:after="200"/>
      </w:pPr>
      <w:r>
        <w:t xml:space="preserve">• Responsabilité décennale : couverture obligatoire au titre de l'art. 1792 du Code civil, assurée par police décennale conforme à l'art. L241-1 du Code des assurances — attestation en annexe.</w:t>
      </w:r>
    </w:p>
    <w:p>
      <w:pPr>
        <w:spacing w:after="200"/>
      </w:pPr>
      <w:r>
        <w:t xml:space="preserve">• Assurances : RC professionnelle (10 M€ tous dommages), assurance Tous Risques Chantier souscrite avant ordre de service.</w:t>
      </w:r>
    </w:p>
    <w:p>
      <w:pPr>
        <w:spacing w:after="200"/>
      </w:pPr>
      <w:r>
        <w:t xml:space="preserve">• Pénalités acceptées : conformément au CCAP, plafonnées à 5 % du montant du marché.</w:t>
      </w:r>
    </w:p>
    <w:p>
      <w:pPr>
        <w:pStyle w:val="Heading1"/>
        <w:spacing w:after="200" w:before="600"/>
        <w:jc w:val="center"/>
      </w:pPr>
      <w:r>
        <w:rPr>
          <w:b/>
          <w:bCs/>
          <w:color w:val="d97706"/>
        </w:rPr>
        <w:t xml:space="preserve">ANNEXES</w:t>
      </w:r>
    </w:p>
    <w:p>
      <w:pPr>
        <w:spacing w:after="400"/>
        <w:jc w:val="center"/>
      </w:pPr>
      <w:r>
        <w:rPr>
          <w:i/>
          <w:iCs/>
          <w:color w:val="8b8b8b"/>
          <w:sz w:val="18"/>
          <w:szCs w:val="18"/>
        </w:rPr>
        <w:t xml:space="preserve">Pièces jointes structurées — exemple fictif sur la base d'un AO type</w:t>
      </w:r>
    </w:p>
    <w:p>
      <w:pPr>
        <w:pStyle w:val="Heading1"/>
        <w:spacing w:after="200" w:before="400"/>
      </w:pPr>
      <w:r>
        <w:rPr>
          <w:b/>
          <w:bCs/>
          <w:color w:val="d97706"/>
        </w:rPr>
        <w:t xml:space="preserve">Annexe A — Planning prévisionnel</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Phase</w:t>
            </w:r>
          </w:p>
        </w:tc>
        <w:tc>
          <w:tcPr>
            <w:shd w:fill="FFF7E6" w:color="auto"/>
          </w:tcPr>
          <w:p>
            <w:pPr>
              <w:spacing w:after="80" w:before="80"/>
            </w:pPr>
            <w:r>
              <w:rPr>
                <w:b/>
                <w:bCs/>
                <w:color w:val="92400e"/>
                <w:sz w:val="20"/>
                <w:szCs w:val="20"/>
              </w:rPr>
              <w:t xml:space="preserve">Début</w:t>
            </w:r>
          </w:p>
        </w:tc>
        <w:tc>
          <w:tcPr>
            <w:shd w:fill="FFF7E6" w:color="auto"/>
          </w:tcPr>
          <w:p>
            <w:pPr>
              <w:spacing w:after="80" w:before="80"/>
            </w:pPr>
            <w:r>
              <w:rPr>
                <w:b/>
                <w:bCs/>
                <w:color w:val="92400e"/>
                <w:sz w:val="20"/>
                <w:szCs w:val="20"/>
              </w:rPr>
              <w:t xml:space="preserve">Fin</w:t>
            </w:r>
          </w:p>
        </w:tc>
        <w:tc>
          <w:tcPr>
            <w:shd w:fill="FFF7E6" w:color="auto"/>
          </w:tcPr>
          <w:p>
            <w:pPr>
              <w:spacing w:after="80" w:before="80"/>
            </w:pPr>
            <w:r>
              <w:rPr>
                <w:b/>
                <w:bCs/>
                <w:color w:val="92400e"/>
                <w:sz w:val="20"/>
                <w:szCs w:val="20"/>
              </w:rPr>
              <w:t xml:space="preserve">Effectif</w:t>
            </w:r>
          </w:p>
        </w:tc>
      </w:tr>
      <w:tr>
        <w:tc>
          <w:p>
            <w:pPr>
              <w:spacing w:after="60" w:before="60"/>
            </w:pPr>
            <w:r>
              <w:rPr>
                <w:sz w:val="18"/>
                <w:szCs w:val="18"/>
              </w:rPr>
              <w:t xml:space="preserve">Installation chantier, terrassements généraux, fondations spéciales</w:t>
            </w:r>
          </w:p>
        </w:tc>
        <w:tc>
          <w:p>
            <w:pPr>
              <w:spacing w:after="60" w:before="60"/>
            </w:pPr>
            <w:r>
              <w:rPr>
                <w:sz w:val="18"/>
                <w:szCs w:val="18"/>
              </w:rPr>
              <w:t xml:space="preserve">M1</w:t>
            </w:r>
          </w:p>
        </w:tc>
        <w:tc>
          <w:p>
            <w:pPr>
              <w:spacing w:after="60" w:before="60"/>
            </w:pPr>
            <w:r>
              <w:rPr>
                <w:sz w:val="18"/>
                <w:szCs w:val="18"/>
              </w:rPr>
              <w:t xml:space="preserve">M1</w:t>
            </w:r>
          </w:p>
        </w:tc>
        <w:tc>
          <w:p>
            <w:pPr>
              <w:spacing w:after="60" w:before="60"/>
            </w:pPr>
            <w:r>
              <w:rPr>
                <w:sz w:val="18"/>
                <w:szCs w:val="18"/>
              </w:rPr>
              <w:t xml:space="preserve">6 ETP</w:t>
            </w:r>
          </w:p>
        </w:tc>
      </w:tr>
      <w:tr>
        <w:tc>
          <w:p>
            <w:pPr>
              <w:spacing w:after="60" w:before="60"/>
            </w:pPr>
            <w:r>
              <w:rPr>
                <w:sz w:val="18"/>
                <w:szCs w:val="18"/>
              </w:rPr>
              <w:t xml:space="preserve">Fondations superficielles, longrines, réseaux enterrés sous dallage</w:t>
            </w:r>
          </w:p>
        </w:tc>
        <w:tc>
          <w:p>
            <w:pPr>
              <w:spacing w:after="60" w:before="60"/>
            </w:pPr>
            <w:r>
              <w:rPr>
                <w:sz w:val="18"/>
                <w:szCs w:val="18"/>
              </w:rPr>
              <w:t xml:space="preserve">M2</w:t>
            </w:r>
          </w:p>
        </w:tc>
        <w:tc>
          <w:p>
            <w:pPr>
              <w:spacing w:after="60" w:before="60"/>
            </w:pPr>
            <w:r>
              <w:rPr>
                <w:sz w:val="18"/>
                <w:szCs w:val="18"/>
              </w:rPr>
              <w:t xml:space="preserve">M2</w:t>
            </w:r>
          </w:p>
        </w:tc>
        <w:tc>
          <w:p>
            <w:pPr>
              <w:spacing w:after="60" w:before="60"/>
            </w:pPr>
            <w:r>
              <w:rPr>
                <w:sz w:val="18"/>
                <w:szCs w:val="18"/>
              </w:rPr>
              <w:t xml:space="preserve">8 ETP</w:t>
            </w:r>
          </w:p>
        </w:tc>
      </w:tr>
      <w:tr>
        <w:tc>
          <w:p>
            <w:pPr>
              <w:spacing w:after="60" w:before="60"/>
            </w:pPr>
            <w:r>
              <w:rPr>
                <w:sz w:val="18"/>
                <w:szCs w:val="18"/>
              </w:rPr>
              <w:t xml:space="preserve">Dallage RDC, élévations voiles et poteaux RDC</w:t>
            </w:r>
          </w:p>
        </w:tc>
        <w:tc>
          <w:p>
            <w:pPr>
              <w:spacing w:after="60" w:before="60"/>
            </w:pPr>
            <w:r>
              <w:rPr>
                <w:sz w:val="18"/>
                <w:szCs w:val="18"/>
              </w:rPr>
              <w:t xml:space="preserve">M3</w:t>
            </w:r>
          </w:p>
        </w:tc>
        <w:tc>
          <w:p>
            <w:pPr>
              <w:spacing w:after="60" w:before="60"/>
            </w:pPr>
            <w:r>
              <w:rPr>
                <w:sz w:val="18"/>
                <w:szCs w:val="18"/>
              </w:rPr>
              <w:t xml:space="preserve">M4</w:t>
            </w:r>
          </w:p>
        </w:tc>
        <w:tc>
          <w:p>
            <w:pPr>
              <w:spacing w:after="60" w:before="60"/>
            </w:pPr>
            <w:r>
              <w:rPr>
                <w:sz w:val="18"/>
                <w:szCs w:val="18"/>
              </w:rPr>
              <w:t xml:space="preserve">10 ETP</w:t>
            </w:r>
          </w:p>
        </w:tc>
      </w:tr>
      <w:tr>
        <w:tc>
          <w:p>
            <w:pPr>
              <w:spacing w:after="60" w:before="60"/>
            </w:pPr>
            <w:r>
              <w:rPr>
                <w:sz w:val="18"/>
                <w:szCs w:val="18"/>
              </w:rPr>
              <w:t xml:space="preserve">Plancher haut RDC, élévations R+1</w:t>
            </w:r>
          </w:p>
        </w:tc>
        <w:tc>
          <w:p>
            <w:pPr>
              <w:spacing w:after="60" w:before="60"/>
            </w:pPr>
            <w:r>
              <w:rPr>
                <w:sz w:val="18"/>
                <w:szCs w:val="18"/>
              </w:rPr>
              <w:t xml:space="preserve">M5</w:t>
            </w:r>
          </w:p>
        </w:tc>
        <w:tc>
          <w:p>
            <w:pPr>
              <w:spacing w:after="60" w:before="60"/>
            </w:pPr>
            <w:r>
              <w:rPr>
                <w:sz w:val="18"/>
                <w:szCs w:val="18"/>
              </w:rPr>
              <w:t xml:space="preserve">M6</w:t>
            </w:r>
          </w:p>
        </w:tc>
        <w:tc>
          <w:p>
            <w:pPr>
              <w:spacing w:after="60" w:before="60"/>
            </w:pPr>
            <w:r>
              <w:rPr>
                <w:sz w:val="18"/>
                <w:szCs w:val="18"/>
              </w:rPr>
              <w:t xml:space="preserve">10 ETP</w:t>
            </w:r>
          </w:p>
        </w:tc>
      </w:tr>
      <w:tr>
        <w:tc>
          <w:p>
            <w:pPr>
              <w:spacing w:after="60" w:before="60"/>
            </w:pPr>
            <w:r>
              <w:rPr>
                <w:sz w:val="18"/>
                <w:szCs w:val="18"/>
              </w:rPr>
              <w:t xml:space="preserve">Plancher haut R+1, acrotères, escaliers béton</w:t>
            </w:r>
          </w:p>
        </w:tc>
        <w:tc>
          <w:p>
            <w:pPr>
              <w:spacing w:after="60" w:before="60"/>
            </w:pPr>
            <w:r>
              <w:rPr>
                <w:sz w:val="18"/>
                <w:szCs w:val="18"/>
              </w:rPr>
              <w:t xml:space="preserve">M7</w:t>
            </w:r>
          </w:p>
        </w:tc>
        <w:tc>
          <w:p>
            <w:pPr>
              <w:spacing w:after="60" w:before="60"/>
            </w:pPr>
            <w:r>
              <w:rPr>
                <w:sz w:val="18"/>
                <w:szCs w:val="18"/>
              </w:rPr>
              <w:t xml:space="preserve">M7</w:t>
            </w:r>
          </w:p>
        </w:tc>
        <w:tc>
          <w:p>
            <w:pPr>
              <w:spacing w:after="60" w:before="60"/>
            </w:pPr>
            <w:r>
              <w:rPr>
                <w:sz w:val="18"/>
                <w:szCs w:val="18"/>
              </w:rPr>
              <w:t xml:space="preserve">9 ETP</w:t>
            </w:r>
          </w:p>
        </w:tc>
      </w:tr>
      <w:tr>
        <w:tc>
          <w:p>
            <w:pPr>
              <w:spacing w:after="60" w:before="60"/>
            </w:pPr>
            <w:r>
              <w:rPr>
                <w:sz w:val="18"/>
                <w:szCs w:val="18"/>
              </w:rPr>
              <w:t xml:space="preserve">Reprises, scellements, travaux modificatifs gros œuvre</w:t>
            </w:r>
          </w:p>
        </w:tc>
        <w:tc>
          <w:p>
            <w:pPr>
              <w:spacing w:after="60" w:before="60"/>
            </w:pPr>
            <w:r>
              <w:rPr>
                <w:sz w:val="18"/>
                <w:szCs w:val="18"/>
              </w:rPr>
              <w:t xml:space="preserve">M8</w:t>
            </w:r>
          </w:p>
        </w:tc>
        <w:tc>
          <w:p>
            <w:pPr>
              <w:spacing w:after="60" w:before="60"/>
            </w:pPr>
            <w:r>
              <w:rPr>
                <w:sz w:val="18"/>
                <w:szCs w:val="18"/>
              </w:rPr>
              <w:t xml:space="preserve">M8</w:t>
            </w:r>
          </w:p>
        </w:tc>
        <w:tc>
          <w:p>
            <w:pPr>
              <w:spacing w:after="60" w:before="60"/>
            </w:pPr>
            <w:r>
              <w:rPr>
                <w:sz w:val="18"/>
                <w:szCs w:val="18"/>
              </w:rPr>
              <w:t xml:space="preserve">5 ETP</w:t>
            </w:r>
          </w:p>
        </w:tc>
      </w:tr>
      <w:tr>
        <w:tc>
          <w:p>
            <w:pPr>
              <w:spacing w:after="60" w:before="60"/>
            </w:pPr>
            <w:r>
              <w:rPr>
                <w:sz w:val="18"/>
                <w:szCs w:val="18"/>
              </w:rPr>
              <w:t xml:space="preserve">Repli installations, levée de réserves, OPR</w:t>
            </w:r>
          </w:p>
        </w:tc>
        <w:tc>
          <w:p>
            <w:pPr>
              <w:spacing w:after="60" w:before="60"/>
            </w:pPr>
            <w:r>
              <w:rPr>
                <w:sz w:val="18"/>
                <w:szCs w:val="18"/>
              </w:rPr>
              <w:t xml:space="preserve">M9</w:t>
            </w:r>
          </w:p>
        </w:tc>
        <w:tc>
          <w:p>
            <w:pPr>
              <w:spacing w:after="60" w:before="60"/>
            </w:pPr>
            <w:r>
              <w:rPr>
                <w:sz w:val="18"/>
                <w:szCs w:val="18"/>
              </w:rPr>
              <w:t xml:space="preserve">M9</w:t>
            </w:r>
          </w:p>
        </w:tc>
        <w:tc>
          <w:p>
            <w:pPr>
              <w:spacing w:after="60" w:before="60"/>
            </w:pPr>
            <w:r>
              <w:rPr>
                <w:sz w:val="18"/>
                <w:szCs w:val="18"/>
              </w:rPr>
              <w:t xml:space="preserve">3 ETP</w:t>
            </w:r>
          </w:p>
        </w:tc>
      </w:tr>
    </w:tbl>
    <w:p>
      <w:pPr>
        <w:pStyle w:val="Heading1"/>
        <w:spacing w:after="200" w:before="400"/>
      </w:pPr>
      <w:r>
        <w:rPr>
          <w:b/>
          <w:bCs/>
          <w:color w:val="d97706"/>
        </w:rPr>
        <w:t xml:space="preserve">Annexe B — Matrice des risques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Risque identifié</w:t>
            </w:r>
          </w:p>
        </w:tc>
        <w:tc>
          <w:tcPr>
            <w:shd w:fill="FFF7E6" w:color="auto"/>
          </w:tcPr>
          <w:p>
            <w:pPr>
              <w:spacing w:after="80" w:before="80"/>
            </w:pPr>
            <w:r>
              <w:rPr>
                <w:b/>
                <w:bCs/>
                <w:color w:val="92400e"/>
                <w:sz w:val="20"/>
                <w:szCs w:val="20"/>
              </w:rPr>
              <w:t xml:space="preserve">Probabilité</w:t>
            </w:r>
          </w:p>
        </w:tc>
        <w:tc>
          <w:tcPr>
            <w:shd w:fill="FFF7E6" w:color="auto"/>
          </w:tcPr>
          <w:p>
            <w:pPr>
              <w:spacing w:after="80" w:before="80"/>
            </w:pPr>
            <w:r>
              <w:rPr>
                <w:b/>
                <w:bCs/>
                <w:color w:val="92400e"/>
                <w:sz w:val="20"/>
                <w:szCs w:val="20"/>
              </w:rPr>
              <w:t xml:space="preserve">Gravité</w:t>
            </w:r>
          </w:p>
        </w:tc>
        <w:tc>
          <w:tcPr>
            <w:shd w:fill="FFF7E6" w:color="auto"/>
          </w:tcPr>
          <w:p>
            <w:pPr>
              <w:spacing w:after="80" w:before="80"/>
            </w:pPr>
            <w:r>
              <w:rPr>
                <w:b/>
                <w:bCs/>
                <w:color w:val="92400e"/>
                <w:sz w:val="20"/>
                <w:szCs w:val="20"/>
              </w:rPr>
              <w:t xml:space="preserve">Mesure préventive</w:t>
            </w:r>
          </w:p>
        </w:tc>
      </w:tr>
      <w:tr>
        <w:tc>
          <w:p>
            <w:pPr>
              <w:spacing w:after="60" w:before="60"/>
            </w:pPr>
            <w:r>
              <w:rPr>
                <w:sz w:val="18"/>
                <w:szCs w:val="18"/>
              </w:rPr>
              <w:t xml:space="preserve">Découverte sol non conforme à l'étude G2 (capacité portante)</w:t>
            </w:r>
          </w:p>
        </w:tc>
        <w:tc>
          <w:p>
            <w:pPr>
              <w:spacing w:after="60" w:before="60"/>
            </w:pPr>
            <w:r>
              <w:rPr>
                <w:sz w:val="18"/>
                <w:szCs w:val="18"/>
              </w:rPr>
              <w:t xml:space="preserve">Faible</w:t>
            </w:r>
          </w:p>
        </w:tc>
        <w:tc>
          <w:p>
            <w:pPr>
              <w:spacing w:after="60" w:before="60"/>
            </w:pPr>
            <w:r>
              <w:rPr>
                <w:sz w:val="18"/>
                <w:szCs w:val="18"/>
              </w:rPr>
              <w:t xml:space="preserve">Élevée</w:t>
            </w:r>
          </w:p>
        </w:tc>
        <w:tc>
          <w:p>
            <w:pPr>
              <w:spacing w:after="60" w:before="60"/>
            </w:pPr>
            <w:r>
              <w:rPr>
                <w:sz w:val="18"/>
                <w:szCs w:val="18"/>
              </w:rPr>
              <w:t xml:space="preserve">Sondage complémentaire prévu démarrage, alerte MOE sous 48h, avenant fondations spéciales chiffré</w:t>
            </w:r>
          </w:p>
        </w:tc>
      </w:tr>
      <w:tr>
        <w:tc>
          <w:p>
            <w:pPr>
              <w:spacing w:after="60" w:before="60"/>
            </w:pPr>
            <w:r>
              <w:rPr>
                <w:sz w:val="18"/>
                <w:szCs w:val="18"/>
              </w:rPr>
              <w:t xml:space="preserve">Intempéries hivernales prolongées (gel &gt;5j)</w:t>
            </w:r>
          </w:p>
        </w:tc>
        <w:tc>
          <w:p>
            <w:pPr>
              <w:spacing w:after="60" w:before="60"/>
            </w:pPr>
            <w:r>
              <w:rPr>
                <w:sz w:val="18"/>
                <w:szCs w:val="18"/>
              </w:rPr>
              <w:t xml:space="preserve">Moyenne</w:t>
            </w:r>
          </w:p>
        </w:tc>
        <w:tc>
          <w:p>
            <w:pPr>
              <w:spacing w:after="60" w:before="60"/>
            </w:pPr>
            <w:r>
              <w:rPr>
                <w:sz w:val="18"/>
                <w:szCs w:val="18"/>
              </w:rPr>
              <w:t xml:space="preserve">Moyenne</w:t>
            </w:r>
          </w:p>
        </w:tc>
        <w:tc>
          <w:p>
            <w:pPr>
              <w:spacing w:after="60" w:before="60"/>
            </w:pPr>
            <w:r>
              <w:rPr>
                <w:sz w:val="18"/>
                <w:szCs w:val="18"/>
              </w:rPr>
              <w:t xml:space="preserve">Bétons adjuvantés antigel, bâches chauffantes en stock, replanification phases sensibles</w:t>
            </w:r>
          </w:p>
        </w:tc>
      </w:tr>
      <w:tr>
        <w:tc>
          <w:p>
            <w:pPr>
              <w:spacing w:after="60" w:before="60"/>
            </w:pPr>
            <w:r>
              <w:rPr>
                <w:sz w:val="18"/>
                <w:szCs w:val="18"/>
              </w:rPr>
              <w:t xml:space="preserve">Retard livraison BPE en pic d'activité régional</w:t>
            </w:r>
          </w:p>
        </w:tc>
        <w:tc>
          <w:p>
            <w:pPr>
              <w:spacing w:after="60" w:before="60"/>
            </w:pPr>
            <w:r>
              <w:rPr>
                <w:sz w:val="18"/>
                <w:szCs w:val="18"/>
              </w:rPr>
              <w:t xml:space="preserve">Moyenne</w:t>
            </w:r>
          </w:p>
        </w:tc>
        <w:tc>
          <w:p>
            <w:pPr>
              <w:spacing w:after="60" w:before="60"/>
            </w:pPr>
            <w:r>
              <w:rPr>
                <w:sz w:val="18"/>
                <w:szCs w:val="18"/>
              </w:rPr>
              <w:t xml:space="preserve">Moyenne</w:t>
            </w:r>
          </w:p>
        </w:tc>
        <w:tc>
          <w:p>
            <w:pPr>
              <w:spacing w:after="60" w:before="60"/>
            </w:pPr>
            <w:r>
              <w:rPr>
                <w:sz w:val="18"/>
                <w:szCs w:val="18"/>
              </w:rPr>
              <w:t xml:space="preserve">Contrat-cadre 2 centrales, créneaux livraison réservés J-7</w:t>
            </w:r>
          </w:p>
        </w:tc>
      </w:tr>
      <w:tr>
        <w:tc>
          <w:p>
            <w:pPr>
              <w:spacing w:after="60" w:before="60"/>
            </w:pPr>
            <w:r>
              <w:rPr>
                <w:sz w:val="18"/>
                <w:szCs w:val="18"/>
              </w:rPr>
              <w:t xml:space="preserve">Accident de chantier (chute de hauteur, manutention)</w:t>
            </w:r>
          </w:p>
        </w:tc>
        <w:tc>
          <w:p>
            <w:pPr>
              <w:spacing w:after="60" w:before="60"/>
            </w:pPr>
            <w:r>
              <w:rPr>
                <w:sz w:val="18"/>
                <w:szCs w:val="18"/>
              </w:rPr>
              <w:t xml:space="preserve">Faible</w:t>
            </w:r>
          </w:p>
        </w:tc>
        <w:tc>
          <w:p>
            <w:pPr>
              <w:spacing w:after="60" w:before="60"/>
            </w:pPr>
            <w:r>
              <w:rPr>
                <w:sz w:val="18"/>
                <w:szCs w:val="18"/>
              </w:rPr>
              <w:t xml:space="preserve">Élevée</w:t>
            </w:r>
          </w:p>
        </w:tc>
        <w:tc>
          <w:p>
            <w:pPr>
              <w:spacing w:after="60" w:before="60"/>
            </w:pPr>
            <w:r>
              <w:rPr>
                <w:sz w:val="18"/>
                <w:szCs w:val="18"/>
              </w:rPr>
              <w:t xml:space="preserve">PPSPS strict, garde-corps systématiques, 1/4h sécurité hebdo, AIPR encadrant</w:t>
            </w:r>
          </w:p>
        </w:tc>
      </w:tr>
      <w:tr>
        <w:tc>
          <w:p>
            <w:pPr>
              <w:spacing w:after="60" w:before="60"/>
            </w:pPr>
            <w:r>
              <w:rPr>
                <w:sz w:val="18"/>
                <w:szCs w:val="18"/>
              </w:rPr>
              <w:t xml:space="preserve">Coactivité avec lots techniques en phase clos-couvert</w:t>
            </w:r>
          </w:p>
        </w:tc>
        <w:tc>
          <w:p>
            <w:pPr>
              <w:spacing w:after="60" w:before="60"/>
            </w:pPr>
            <w:r>
              <w:rPr>
                <w:sz w:val="18"/>
                <w:szCs w:val="18"/>
              </w:rPr>
              <w:t xml:space="preserve">Élevée</w:t>
            </w:r>
          </w:p>
        </w:tc>
        <w:tc>
          <w:p>
            <w:pPr>
              <w:spacing w:after="60" w:before="60"/>
            </w:pPr>
            <w:r>
              <w:rPr>
                <w:sz w:val="18"/>
                <w:szCs w:val="18"/>
              </w:rPr>
              <w:t xml:space="preserve">Moyenne</w:t>
            </w:r>
          </w:p>
        </w:tc>
        <w:tc>
          <w:p>
            <w:pPr>
              <w:spacing w:after="60" w:before="60"/>
            </w:pPr>
            <w:r>
              <w:rPr>
                <w:sz w:val="18"/>
                <w:szCs w:val="18"/>
              </w:rPr>
              <w:t xml:space="preserve">Réunion hebdo OPC, planning glissant 4 semaines, coordination SPS active</w:t>
            </w:r>
          </w:p>
        </w:tc>
      </w:tr>
    </w:tbl>
    <w:p>
      <w:pPr>
        <w:pStyle w:val="Heading1"/>
        <w:spacing w:after="200" w:before="400"/>
      </w:pPr>
      <w:r>
        <w:rPr>
          <w:b/>
          <w:bCs/>
          <w:color w:val="d97706"/>
        </w:rPr>
        <w:t xml:space="preserve">Annexe D — CV synthétiques de l'équipe (anonymisés)</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tblGrid>
      <w:tr>
        <w:trPr>
          <w:tblHeader/>
        </w:trPr>
        <w:tc>
          <w:tcPr>
            <w:shd w:fill="FFF7E6" w:color="auto"/>
          </w:tcPr>
          <w:p>
            <w:pPr>
              <w:spacing w:after="80" w:before="80"/>
            </w:pPr>
            <w:r>
              <w:rPr>
                <w:b/>
                <w:bCs/>
                <w:color w:val="92400e"/>
                <w:sz w:val="20"/>
                <w:szCs w:val="20"/>
              </w:rPr>
              <w:t xml:space="preserve">Profil</w:t>
            </w:r>
          </w:p>
        </w:tc>
        <w:tc>
          <w:tcPr>
            <w:shd w:fill="FFF7E6" w:color="auto"/>
          </w:tcPr>
          <w:p>
            <w:pPr>
              <w:spacing w:after="80" w:before="80"/>
            </w:pPr>
            <w:r>
              <w:rPr>
                <w:b/>
                <w:bCs/>
                <w:color w:val="92400e"/>
                <w:sz w:val="20"/>
                <w:szCs w:val="20"/>
              </w:rPr>
              <w:t xml:space="preserve">Rôle</w:t>
            </w:r>
          </w:p>
        </w:tc>
        <w:tc>
          <w:tcPr>
            <w:shd w:fill="FFF7E6" w:color="auto"/>
          </w:tcPr>
          <w:p>
            <w:pPr>
              <w:spacing w:after="80" w:before="80"/>
            </w:pPr>
            <w:r>
              <w:rPr>
                <w:b/>
                <w:bCs/>
                <w:color w:val="92400e"/>
                <w:sz w:val="20"/>
                <w:szCs w:val="20"/>
              </w:rPr>
              <w:t xml:space="preserve">Expérience</w:t>
            </w:r>
          </w:p>
        </w:tc>
        <w:tc>
          <w:tcPr>
            <w:shd w:fill="FFF7E6" w:color="auto"/>
          </w:tcPr>
          <w:p>
            <w:pPr>
              <w:spacing w:after="80" w:before="80"/>
            </w:pPr>
            <w:r>
              <w:rPr>
                <w:b/>
                <w:bCs/>
                <w:color w:val="92400e"/>
                <w:sz w:val="20"/>
                <w:szCs w:val="20"/>
              </w:rPr>
              <w:t xml:space="preserve">Qualifications / habilitations</w:t>
            </w:r>
          </w:p>
        </w:tc>
      </w:tr>
      <w:tr>
        <w:tc>
          <w:p>
            <w:pPr>
              <w:spacing w:after="60" w:before="60"/>
            </w:pPr>
            <w:r>
              <w:rPr>
                <w:sz w:val="18"/>
                <w:szCs w:val="18"/>
              </w:rPr>
              <w:t xml:space="preserve">[Conducteur de travaux — initiales seulement]</w:t>
            </w:r>
          </w:p>
        </w:tc>
        <w:tc>
          <w:p>
            <w:pPr>
              <w:spacing w:after="60" w:before="60"/>
            </w:pPr>
            <w:r>
              <w:rPr>
                <w:sz w:val="18"/>
                <w:szCs w:val="18"/>
              </w:rPr>
              <w:t xml:space="preserve">Conducteur de travaux</w:t>
            </w:r>
          </w:p>
        </w:tc>
        <w:tc>
          <w:p>
            <w:pPr>
              <w:spacing w:after="60" w:before="60"/>
            </w:pPr>
            <w:r>
              <w:rPr>
                <w:sz w:val="18"/>
                <w:szCs w:val="18"/>
              </w:rPr>
              <w:t xml:space="preserve">15 ans dont 9 sur ERP scolaires/sportifs</w:t>
            </w:r>
          </w:p>
        </w:tc>
        <w:tc>
          <w:p>
            <w:pPr>
              <w:spacing w:after="60" w:before="60"/>
            </w:pPr>
            <w:r>
              <w:rPr>
                <w:sz w:val="18"/>
                <w:szCs w:val="18"/>
              </w:rPr>
              <w:t xml:space="preserve">Ingénieur structure, AIPR encadrant, SST</w:t>
            </w:r>
          </w:p>
        </w:tc>
      </w:tr>
      <w:tr>
        <w:tc>
          <w:p>
            <w:pPr>
              <w:spacing w:after="60" w:before="60"/>
            </w:pPr>
            <w:r>
              <w:rPr>
                <w:sz w:val="18"/>
                <w:szCs w:val="18"/>
              </w:rPr>
              <w:t xml:space="preserve">[Chef de chantier A]</w:t>
            </w:r>
          </w:p>
        </w:tc>
        <w:tc>
          <w:p>
            <w:pPr>
              <w:spacing w:after="60" w:before="60"/>
            </w:pPr>
            <w:r>
              <w:rPr>
                <w:sz w:val="18"/>
                <w:szCs w:val="18"/>
              </w:rPr>
              <w:t xml:space="preserve">Chef de chantier</w:t>
            </w:r>
          </w:p>
        </w:tc>
        <w:tc>
          <w:p>
            <w:pPr>
              <w:spacing w:after="60" w:before="60"/>
            </w:pPr>
            <w:r>
              <w:rPr>
                <w:sz w:val="18"/>
                <w:szCs w:val="18"/>
              </w:rPr>
              <w:t xml:space="preserve">12 ans gros œuvre</w:t>
            </w:r>
          </w:p>
        </w:tc>
        <w:tc>
          <w:p>
            <w:pPr>
              <w:spacing w:after="60" w:before="60"/>
            </w:pPr>
            <w:r>
              <w:rPr>
                <w:sz w:val="18"/>
                <w:szCs w:val="18"/>
              </w:rPr>
              <w:t xml:space="preserve">QUALIBAT 2112, AIPR encadrant, CACES R487 cat. 1, SST</w:t>
            </w:r>
          </w:p>
        </w:tc>
      </w:tr>
      <w:tr>
        <w:tc>
          <w:p>
            <w:pPr>
              <w:spacing w:after="60" w:before="60"/>
            </w:pPr>
            <w:r>
              <w:rPr>
                <w:sz w:val="18"/>
                <w:szCs w:val="18"/>
              </w:rPr>
              <w:t xml:space="preserve">[Maçon coffreur B]</w:t>
            </w:r>
          </w:p>
        </w:tc>
        <w:tc>
          <w:p>
            <w:pPr>
              <w:spacing w:after="60" w:before="60"/>
            </w:pPr>
            <w:r>
              <w:rPr>
                <w:sz w:val="18"/>
                <w:szCs w:val="18"/>
              </w:rPr>
              <w:t xml:space="preserve">Maçon coffreur N4</w:t>
            </w:r>
          </w:p>
        </w:tc>
        <w:tc>
          <w:p>
            <w:pPr>
              <w:spacing w:after="60" w:before="60"/>
            </w:pPr>
            <w:r>
              <w:rPr>
                <w:sz w:val="18"/>
                <w:szCs w:val="18"/>
              </w:rPr>
              <w:t xml:space="preserve">10 ans, spécialisé voiles banchés</w:t>
            </w:r>
          </w:p>
        </w:tc>
        <w:tc>
          <w:p>
            <w:pPr>
              <w:spacing w:after="60" w:before="60"/>
            </w:pPr>
            <w:r>
              <w:rPr>
                <w:sz w:val="18"/>
                <w:szCs w:val="18"/>
              </w:rPr>
              <w:t xml:space="preserve">CAP + BP Maçon, habilitation H0/B0, SST</w:t>
            </w:r>
          </w:p>
        </w:tc>
      </w:tr>
      <w:tr>
        <w:tc>
          <w:p>
            <w:pPr>
              <w:spacing w:after="60" w:before="60"/>
            </w:pPr>
            <w:r>
              <w:rPr>
                <w:sz w:val="18"/>
                <w:szCs w:val="18"/>
              </w:rPr>
              <w:t xml:space="preserve">[Ferrailleur C]</w:t>
            </w:r>
          </w:p>
        </w:tc>
        <w:tc>
          <w:p>
            <w:pPr>
              <w:spacing w:after="60" w:before="60"/>
            </w:pPr>
            <w:r>
              <w:rPr>
                <w:sz w:val="18"/>
                <w:szCs w:val="18"/>
              </w:rPr>
              <w:t xml:space="preserve">Ferrailleur N3</w:t>
            </w:r>
          </w:p>
        </w:tc>
        <w:tc>
          <w:p>
            <w:pPr>
              <w:spacing w:after="60" w:before="60"/>
            </w:pPr>
            <w:r>
              <w:rPr>
                <w:sz w:val="18"/>
                <w:szCs w:val="18"/>
              </w:rPr>
              <w:t xml:space="preserve">7 ans</w:t>
            </w:r>
          </w:p>
        </w:tc>
        <w:tc>
          <w:p>
            <w:pPr>
              <w:spacing w:after="60" w:before="60"/>
            </w:pPr>
            <w:r>
              <w:rPr>
                <w:sz w:val="18"/>
                <w:szCs w:val="18"/>
              </w:rPr>
              <w:t xml:space="preserve">CAP Ferraillage, AIPR opérateur</w:t>
            </w:r>
          </w:p>
        </w:tc>
      </w:tr>
      <w:tr>
        <w:tc>
          <w:p>
            <w:pPr>
              <w:spacing w:after="60" w:before="60"/>
            </w:pPr>
            <w:r>
              <w:rPr>
                <w:sz w:val="18"/>
                <w:szCs w:val="18"/>
              </w:rPr>
              <w:t xml:space="preserve">[Grutier D]</w:t>
            </w:r>
          </w:p>
        </w:tc>
        <w:tc>
          <w:p>
            <w:pPr>
              <w:spacing w:after="60" w:before="60"/>
            </w:pPr>
            <w:r>
              <w:rPr>
                <w:sz w:val="18"/>
                <w:szCs w:val="18"/>
              </w:rPr>
              <w:t xml:space="preserve">Grutier</w:t>
            </w:r>
          </w:p>
        </w:tc>
        <w:tc>
          <w:p>
            <w:pPr>
              <w:spacing w:after="60" w:before="60"/>
            </w:pPr>
            <w:r>
              <w:rPr>
                <w:sz w:val="18"/>
                <w:szCs w:val="18"/>
              </w:rPr>
              <w:t xml:space="preserve">8 ans grues à tour</w:t>
            </w:r>
          </w:p>
        </w:tc>
        <w:tc>
          <w:p>
            <w:pPr>
              <w:spacing w:after="60" w:before="60"/>
            </w:pPr>
            <w:r>
              <w:rPr>
                <w:sz w:val="18"/>
                <w:szCs w:val="18"/>
              </w:rPr>
              <w:t xml:space="preserve">CACES R487 cat. 1, recyclage 2025</w:t>
            </w:r>
          </w:p>
        </w:tc>
      </w:tr>
    </w:tbl>
    <w:p>
      <w:pPr>
        <w:spacing w:after="200" w:before="120"/>
      </w:pPr>
      <w:r>
        <w:rPr>
          <w:i/>
          <w:iCs/>
          <w:color w:val="8b8b8b"/>
          <w:sz w:val="18"/>
          <w:szCs w:val="18"/>
        </w:rPr>
        <w:t xml:space="preserve">Les CV nominatifs complets seront joints à la candidature. Les noms ont été anonymisés à des fins d'exemple.</w:t>
      </w:r>
    </w:p>
    <w:p>
      <w:pPr>
        <w:pStyle w:val="Heading1"/>
        <w:spacing w:after="200" w:before="400"/>
      </w:pPr>
      <w:r>
        <w:rPr>
          <w:b/>
          <w:bCs/>
          <w:color w:val="d97706"/>
        </w:rPr>
        <w:t xml:space="preserve">Annexe E — Références récentes (placeholders à personnaliser)</w:t>
      </w:r>
    </w:p>
    <w:p>
      <w:pPr>
        <w:spacing w:after="200"/>
      </w:pPr>
      <w:r>
        <w:rPr>
          <w:i/>
          <w:iCs/>
          <w:color w:val="8b8b8b"/>
          <w:sz w:val="18"/>
          <w:szCs w:val="18"/>
        </w:rPr>
        <w:t xml:space="preserve">Tableau-type — votre vrai dossier intègrera vos références issues de la mémoire d'entreprise indexée dans Opportunix, vérifiables au sens de l'art. R2152-7 CCP.</w:t>
      </w:r>
    </w:p>
    <w:tbl>
      <w:tblPr>
        <w:tblW w:type="pct" w:w="100%"/>
        <w:tblBorders>
          <w:top w:val="single" w:color="d97706" w:sz="4"/>
          <w:left w:val="single" w:color="e5e5e5" w:sz="2"/>
          <w:bottom w:val="single" w:color="d97706" w:sz="4"/>
          <w:right w:val="single" w:color="e5e5e5" w:sz="2"/>
          <w:insideH w:val="single" w:color="e5e5e5" w:sz="2"/>
          <w:insideV w:val="single" w:color="e5e5e5" w:sz="2"/>
        </w:tblBorders>
      </w:tblPr>
      <w:tblGrid>
        <w:gridCol w:w="100"/>
        <w:gridCol w:w="100"/>
        <w:gridCol w:w="100"/>
        <w:gridCol w:w="100"/>
        <w:gridCol w:w="100"/>
      </w:tblGrid>
      <w:tr>
        <w:trPr>
          <w:tblHeader/>
        </w:trPr>
        <w:tc>
          <w:tcPr>
            <w:shd w:fill="FFF7E6" w:color="auto"/>
          </w:tcPr>
          <w:p>
            <w:pPr>
              <w:spacing w:after="80" w:before="80"/>
            </w:pPr>
            <w:r>
              <w:rPr>
                <w:b/>
                <w:bCs/>
                <w:color w:val="92400e"/>
                <w:sz w:val="20"/>
                <w:szCs w:val="20"/>
              </w:rPr>
              <w:t xml:space="preserve">Pouvoir adjudicateur</w:t>
            </w:r>
          </w:p>
        </w:tc>
        <w:tc>
          <w:tcPr>
            <w:shd w:fill="FFF7E6" w:color="auto"/>
          </w:tcPr>
          <w:p>
            <w:pPr>
              <w:spacing w:after="80" w:before="80"/>
            </w:pPr>
            <w:r>
              <w:rPr>
                <w:b/>
                <w:bCs/>
                <w:color w:val="92400e"/>
                <w:sz w:val="20"/>
                <w:szCs w:val="20"/>
              </w:rPr>
              <w:t xml:space="preserve">Objet du marché</w:t>
            </w:r>
          </w:p>
        </w:tc>
        <w:tc>
          <w:tcPr>
            <w:shd w:fill="FFF7E6" w:color="auto"/>
          </w:tcPr>
          <w:p>
            <w:pPr>
              <w:spacing w:after="80" w:before="80"/>
            </w:pPr>
            <w:r>
              <w:rPr>
                <w:b/>
                <w:bCs/>
                <w:color w:val="92400e"/>
                <w:sz w:val="20"/>
                <w:szCs w:val="20"/>
              </w:rPr>
              <w:t xml:space="preserve">Montant HT</w:t>
            </w:r>
          </w:p>
        </w:tc>
        <w:tc>
          <w:tcPr>
            <w:shd w:fill="FFF7E6" w:color="auto"/>
          </w:tcPr>
          <w:p>
            <w:pPr>
              <w:spacing w:after="80" w:before="80"/>
            </w:pPr>
            <w:r>
              <w:rPr>
                <w:b/>
                <w:bCs/>
                <w:color w:val="92400e"/>
                <w:sz w:val="20"/>
                <w:szCs w:val="20"/>
              </w:rPr>
              <w:t xml:space="preserve">Année</w:t>
            </w:r>
          </w:p>
        </w:tc>
        <w:tc>
          <w:tcPr>
            <w:shd w:fill="FFF7E6" w:color="auto"/>
          </w:tcPr>
          <w:p>
            <w:pPr>
              <w:spacing w:after="80" w:before="80"/>
            </w:pPr>
            <w:r>
              <w:rPr>
                <w:b/>
                <w:bCs/>
                <w:color w:val="92400e"/>
                <w:sz w:val="20"/>
                <w:szCs w:val="20"/>
              </w:rPr>
              <w:t xml:space="preserve">Statut</w:t>
            </w:r>
          </w:p>
        </w:tc>
      </w:tr>
      <w:tr>
        <w:tc>
          <w:p>
            <w:pPr>
              <w:spacing w:after="60" w:before="60"/>
            </w:pPr>
            <w:r>
              <w:rPr>
                <w:sz w:val="18"/>
                <w:szCs w:val="18"/>
              </w:rPr>
              <w:t xml:space="preserve">[À renseigner — vraie commune]</w:t>
            </w:r>
          </w:p>
        </w:tc>
        <w:tc>
          <w:p>
            <w:pPr>
              <w:spacing w:after="60" w:before="60"/>
            </w:pPr>
            <w:r>
              <w:rPr>
                <w:sz w:val="18"/>
                <w:szCs w:val="18"/>
              </w:rPr>
              <w:t xml:space="preserve">[Construction groupe scolaire 6 classes — gros œuvre]</w:t>
            </w:r>
          </w:p>
        </w:tc>
        <w:tc>
          <w:p>
            <w:pPr>
              <w:spacing w:after="60" w:before="60"/>
            </w:pPr>
            <w:r>
              <w:rPr>
                <w:sz w:val="18"/>
                <w:szCs w:val="18"/>
              </w:rPr>
              <w:t xml:space="preserve">[≈ 780 k€ HT]</w:t>
            </w:r>
          </w:p>
        </w:tc>
        <w:tc>
          <w:p>
            <w:pPr>
              <w:spacing w:after="60" w:before="60"/>
            </w:pPr>
            <w:r>
              <w:rPr>
                <w:sz w:val="18"/>
                <w:szCs w:val="18"/>
              </w:rPr>
              <w:t xml:space="preserve">[2024]</w:t>
            </w:r>
          </w:p>
        </w:tc>
        <w:tc>
          <w:p>
            <w:pPr>
              <w:spacing w:after="60" w:before="60"/>
            </w:pPr>
            <w:r>
              <w:rPr>
                <w:sz w:val="18"/>
                <w:szCs w:val="18"/>
              </w:rPr>
              <w:t xml:space="preserve">Réception sans réserve</w:t>
            </w:r>
          </w:p>
        </w:tc>
      </w:tr>
      <w:tr>
        <w:tc>
          <w:p>
            <w:pPr>
              <w:spacing w:after="60" w:before="60"/>
            </w:pPr>
            <w:r>
              <w:rPr>
                <w:sz w:val="18"/>
                <w:szCs w:val="18"/>
              </w:rPr>
              <w:t xml:space="preserve">[À renseigner — vrai conseil départemental]</w:t>
            </w:r>
          </w:p>
        </w:tc>
        <w:tc>
          <w:p>
            <w:pPr>
              <w:spacing w:after="60" w:before="60"/>
            </w:pPr>
            <w:r>
              <w:rPr>
                <w:sz w:val="18"/>
                <w:szCs w:val="18"/>
              </w:rPr>
              <w:t xml:space="preserve">[Réhabilitation lourde gymnase intercommunal — structure]</w:t>
            </w:r>
          </w:p>
        </w:tc>
        <w:tc>
          <w:p>
            <w:pPr>
              <w:spacing w:after="60" w:before="60"/>
            </w:pPr>
            <w:r>
              <w:rPr>
                <w:sz w:val="18"/>
                <w:szCs w:val="18"/>
              </w:rPr>
              <w:t xml:space="preserve">[≈ 1,1 M€ HT]</w:t>
            </w:r>
          </w:p>
        </w:tc>
        <w:tc>
          <w:p>
            <w:pPr>
              <w:spacing w:after="60" w:before="60"/>
            </w:pPr>
            <w:r>
              <w:rPr>
                <w:sz w:val="18"/>
                <w:szCs w:val="18"/>
              </w:rPr>
              <w:t xml:space="preserve">[2025]</w:t>
            </w:r>
          </w:p>
        </w:tc>
        <w:tc>
          <w:p>
            <w:pPr>
              <w:spacing w:after="60" w:before="60"/>
            </w:pPr>
            <w:r>
              <w:rPr>
                <w:sz w:val="18"/>
                <w:szCs w:val="18"/>
              </w:rPr>
              <w:t xml:space="preserve">En cours, satisfaction documentée</w:t>
            </w:r>
          </w:p>
        </w:tc>
      </w:tr>
      <w:tr>
        <w:tc>
          <w:p>
            <w:pPr>
              <w:spacing w:after="60" w:before="60"/>
            </w:pPr>
            <w:r>
              <w:rPr>
                <w:sz w:val="18"/>
                <w:szCs w:val="18"/>
              </w:rPr>
              <w:t xml:space="preserve">[À renseigner — vrai bailleur social]</w:t>
            </w:r>
          </w:p>
        </w:tc>
        <w:tc>
          <w:p>
            <w:pPr>
              <w:spacing w:after="60" w:before="60"/>
            </w:pPr>
            <w:r>
              <w:rPr>
                <w:sz w:val="18"/>
                <w:szCs w:val="18"/>
              </w:rPr>
              <w:t xml:space="preserve">[Construction logements collectifs R+3 — gros œuvre]</w:t>
            </w:r>
          </w:p>
        </w:tc>
        <w:tc>
          <w:p>
            <w:pPr>
              <w:spacing w:after="60" w:before="60"/>
            </w:pPr>
            <w:r>
              <w:rPr>
                <w:sz w:val="18"/>
                <w:szCs w:val="18"/>
              </w:rPr>
              <w:t xml:space="preserve">[≈ 1,4 M€ HT]</w:t>
            </w:r>
          </w:p>
        </w:tc>
        <w:tc>
          <w:p>
            <w:pPr>
              <w:spacing w:after="60" w:before="60"/>
            </w:pPr>
            <w:r>
              <w:rPr>
                <w:sz w:val="18"/>
                <w:szCs w:val="18"/>
              </w:rPr>
              <w:t xml:space="preserve">[2024]</w:t>
            </w:r>
          </w:p>
        </w:tc>
        <w:tc>
          <w:p>
            <w:pPr>
              <w:spacing w:after="60" w:before="60"/>
            </w:pPr>
            <w:r>
              <w:rPr>
                <w:sz w:val="18"/>
                <w:szCs w:val="18"/>
              </w:rPr>
              <w:t xml:space="preserve">Réception sans réserve</w:t>
            </w:r>
          </w:p>
        </w:tc>
      </w:tr>
    </w:tbl>
    <w:p>
      <w:pPr>
        <w:spacing w:before="800"/>
        <w:jc w:val="center"/>
      </w:pPr>
      <w:r>
        <w:rPr>
          <w:i/>
          <w:iCs/>
          <w:color w:val="8b8b8b"/>
          <w:sz w:val="18"/>
          <w:szCs w:val="18"/>
        </w:rPr>
        <w:t xml:space="preserve">── Fin de l'exemple ──</w:t>
      </w:r>
    </w:p>
    <w:p>
      <w:pPr>
        <w:spacing w:before="200"/>
        <w:jc w:val="center"/>
      </w:pPr>
      <w:r>
        <w:rPr>
          <w:i/>
          <w:iCs/>
          <w:color w:val="8b8b8b"/>
          <w:sz w:val="16"/>
          <w:szCs w:val="16"/>
        </w:rPr>
        <w:t xml:space="preserve">Votre dossier réel sera entièrement personnalisé : DCE analysé, vraies références, vrais prix, mémoire technique sourcée.</w:t>
      </w:r>
    </w:p>
    <w:p>
      <w:pPr>
        <w:spacing w:before="200"/>
        <w:jc w:val="center"/>
      </w:pPr>
      <w:r>
        <w:rPr>
          <w:b/>
          <w:bCs/>
          <w:color w:val="d97706"/>
          <w:sz w:val="16"/>
          <w:szCs w:val="16"/>
        </w:rPr>
        <w:t xml:space="preserve">Généré par Opportunix · pipeline 10 agents IA · 30 min · à partir de 19 €</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b8b8b"/>
        <w:sz w:val="16"/>
        <w:szCs w:val="16"/>
      </w:rPr>
      <w:t xml:space="preserve">Squelette d'exemple — non destiné à être déposé en l'état · </w:t>
    </w:r>
    <w:r>
      <w:rPr>
        <w:color w:val="8b8b8b"/>
        <w:sz w:val="16"/>
        <w:szCs w:val="16"/>
      </w:rPr>
      <w:t xml:space="preserve">Page </w:t>
    </w:r>
    <w:r>
      <w:rPr>
        <w:color w:val="8b8b8b"/>
        <w:sz w:val="16"/>
        <w:szCs w:val="16"/>
      </w:rPr>
      <w:fldChar w:fldCharType="begin"/>
      <w:instrText xml:space="preserve">PAGE</w:instrText>
      <w:fldChar w:fldCharType="separate"/>
      <w:fldChar w:fldCharType="end"/>
    </w:r>
    <w:r>
      <w:rPr>
        <w:color w:val="8b8b8b"/>
        <w:sz w:val="16"/>
        <w:szCs w:val="16"/>
      </w:rPr>
      <w:t xml:space="preserve"> / </w:t>
    </w:r>
    <w:r>
      <w:rPr>
        <w:color w:val="8b8b8b"/>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b/>
        <w:bCs/>
        <w:color w:val="d97706"/>
        <w:sz w:val="16"/>
        <w:szCs w:val="16"/>
      </w:rPr>
      <w:t xml:space="preserve">EXEMPLE — DONNÉES FICTIVES — GÉNÉRÉ PAR OPPORTUNIX (IA)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Mémoire technique (exemple fictif) — Construction d'une école élémentaire — lot gros œuvre</dc:title>
  <dc:creator>Opportunix</dc:creator>
  <dc:description>Squelette d'exemple à des fins d'illustration. Données fictives.</dc:description>
  <cp:lastModifiedBy>Un-named</cp:lastModifiedBy>
  <cp:revision>1</cp:revision>
  <dcterms:created xsi:type="dcterms:W3CDTF">2026-05-12T19:53:17.604Z</dcterms:created>
  <dcterms:modified xsi:type="dcterms:W3CDTF">2026-05-12T19:53:17.604Z</dcterms:modified>
</cp:coreProperties>
</file>

<file path=docProps/custom.xml><?xml version="1.0" encoding="utf-8"?>
<Properties xmlns="http://schemas.openxmlformats.org/officeDocument/2006/custom-properties" xmlns:vt="http://schemas.openxmlformats.org/officeDocument/2006/docPropsVTypes"/>
</file>