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Réfection peinture intérieure groupe scolaire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"BTP — Second œuvre". L'entité "Société Exemple Peinture",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Peinture</w:t>
      </w:r>
    </w:p>
    <w:p>
      <w:pPr>
        <w:spacing w:after="200"/>
      </w:pPr>
      <w:r>
        <w:t xml:space="preserve">SIREN : 123 456 789 (SIREN d'exemple)</w:t>
      </w:r>
    </w:p>
    <w:p>
      <w:pPr>
        <w:spacing w:after="200"/>
      </w:pPr>
      <w:r>
        <w:t xml:space="preserve">Code NAF : 43.34Z</w:t>
      </w:r>
    </w:p>
    <w:p>
      <w:pPr>
        <w:spacing w:after="200"/>
      </w:pPr>
      <w:r>
        <w:t xml:space="preserve">Effectif : 8 ETP</w:t>
      </w:r>
    </w:p>
    <w:p>
      <w:pPr>
        <w:spacing w:after="200"/>
      </w:pPr>
      <w:r>
        <w:t xml:space="preserve">Capacités principales : Peinture intérieure ERP, Revêtements muraux, Travaux en site occupé.</w:t>
      </w:r>
    </w:p>
    <w:p>
      <w:pPr>
        <w:spacing w:after="200"/>
      </w:pPr>
      <w:r>
        <w:t xml:space="preserve">Pouvoir adjudicateur : Commune type — exemple fictif</w:t>
      </w:r>
    </w:p>
    <w:p>
      <w:pPr>
        <w:spacing w:after="200"/>
      </w:pPr>
      <w:r>
        <w:t xml:space="preserve">Procédure : MAPA</w:t>
      </w:r>
    </w:p>
    <w:p>
      <w:pPr>
        <w:spacing w:after="200"/>
      </w:pPr>
      <w:r>
        <w:t xml:space="preserve">Budget estimé : 47 000 € HT</w:t>
      </w:r>
    </w:p>
    <w:p>
      <w:pPr>
        <w:spacing w:after="200"/>
      </w:pPr>
      <w:r>
        <w:t xml:space="preserve">Date limite de remise : 15/09/2026</w:t>
      </w:r>
    </w:p>
    <w:p>
      <w:pPr>
        <w:pStyle w:val="Heading1"/>
        <w:spacing w:after="200" w:before="400"/>
      </w:pPr>
      <w:r>
        <w:rPr>
          <w:b/>
          <w:bCs/>
          <w:color w:val="d97706"/>
        </w:rPr>
        <w:t xml:space="preserve">1. Présentation du candidat</w:t>
      </w:r>
    </w:p>
    <w:p>
      <w:pPr>
        <w:spacing w:after="200"/>
      </w:pPr>
      <w:r>
        <w:t xml:space="preserve">Société Exemple Peinture, SARL au capital de 50 000 €, est une entreprise de second œuvre intervenant principalement sur les marchés publics de la région. Avec 8 collaborateurs en CDI, dont 2 chefs d'équipe titulaires de la qualification QUALIBAT 6121 (peintures intérieures classe 2), nous réalisons en moyenne 18 chantiers / an pour une trentaine de pouvoirs adjudicateurs (communes, EPCI, bailleurs sociaux).</w:t>
      </w:r>
    </w:p>
    <w:p>
      <w:pPr>
        <w:spacing w:after="200"/>
      </w:pPr>
      <w:r>
        <w:t xml:space="preserve">Nos chantiers de référence sur les 24 derniers mois portent sur des surfaces comparables au présent marché (200 à 600 m² traités, milieu scolaire ou administratif).</w:t>
      </w:r>
    </w:p>
    <w:p>
      <w:pPr>
        <w:pStyle w:val="Heading1"/>
        <w:spacing w:after="200" w:before="400"/>
      </w:pPr>
      <w:r>
        <w:rPr>
          <w:b/>
          <w:bCs/>
          <w:color w:val="d97706"/>
        </w:rPr>
        <w:t xml:space="preserve">2. Compréhension du besoin</w:t>
      </w:r>
    </w:p>
    <w:p>
      <w:pPr>
        <w:spacing w:after="200"/>
      </w:pPr>
      <w:r>
        <w:t xml:space="preserve">Le marché porte sur la réfection peinture intérieure du groupe scolaire pendant la période de fermeture estivale, soit 6 semaines pour traiter environ 480 m² (3 salles de classe + circulations + sanitaires). Le RC précise notamment l'usage exclusif de peintures émission COV classée A+ (NF EN 16000-9) et le respect du DTU 59.1.</w:t>
      </w:r>
    </w:p>
    <w:p>
      <w:pPr>
        <w:spacing w:after="200"/>
      </w:pPr>
      <w:r>
        <w:t xml:space="preserve">Les enjeux que nous avons identifiés :</w:t>
      </w:r>
    </w:p>
    <w:p>
      <w:pPr>
        <w:spacing w:after="200"/>
      </w:pPr>
      <w:r>
        <w:t xml:space="preserve">• respect strict du planning sans débordement sur la rentrée scolaire ;</w:t>
      </w:r>
    </w:p>
    <w:p>
      <w:pPr>
        <w:spacing w:after="200"/>
      </w:pPr>
      <w:r>
        <w:t xml:space="preserve">• gestion des poussières et matériaux dangereux dans un ERP type R où la présence d'enfants reprend dès le 1er septembre ;</w:t>
      </w:r>
    </w:p>
    <w:p>
      <w:pPr>
        <w:spacing w:after="200"/>
      </w:pPr>
      <w:r>
        <w:t xml:space="preserve">• coordination avec la direction de l'école pour la libération séquencée des locaux.</w:t>
      </w:r>
    </w:p>
    <w:p>
      <w:pPr>
        <w:pStyle w:val="Heading1"/>
        <w:spacing w:after="200" w:before="400"/>
      </w:pPr>
      <w:r>
        <w:rPr>
          <w:b/>
          <w:bCs/>
          <w:color w:val="d97706"/>
        </w:rPr>
        <w:t xml:space="preserve">3. Méthodologie d'intervention</w:t>
      </w:r>
    </w:p>
    <w:p>
      <w:pPr>
        <w:spacing w:after="200"/>
      </w:pPr>
      <w:r>
        <w:t xml:space="preserve">Nous proposons un phasage en 5 étapes calibré sur les 6 semaines disponibles :</w:t>
      </w:r>
    </w:p>
    <w:p>
      <w:pPr>
        <w:spacing w:after="200"/>
      </w:pPr>
      <w:r>
        <w:t xml:space="preserve">1. Semaine 1 — installation, protections, dépose des accessoires muraux, traitement préalable des fissures et reprises d'enduits.</w:t>
      </w:r>
    </w:p>
    <w:p>
      <w:pPr>
        <w:spacing w:after="200"/>
      </w:pPr>
      <w:r>
        <w:t xml:space="preserve">2. Semaine 2 — sous-couche acrylique sur l'ensemble des supports, ponçage interméd., dépoussiérage HEPA.</w:t>
      </w:r>
    </w:p>
    <w:p>
      <w:pPr>
        <w:spacing w:after="200"/>
      </w:pPr>
      <w:r>
        <w:t xml:space="preserve">3. Semaines 3-4 — application des deux couches de finition (peinture acrylique satinée A+) sur les classes selon planning.</w:t>
      </w:r>
    </w:p>
    <w:p>
      <w:pPr>
        <w:spacing w:after="200"/>
      </w:pPr>
      <w:r>
        <w:t xml:space="preserve">4. Semaine 5 — circulations et sanitaires (peinture lessivable spéciale milieu humide).</w:t>
      </w:r>
    </w:p>
    <w:p>
      <w:pPr>
        <w:spacing w:after="200"/>
      </w:pPr>
      <w:r>
        <w:t xml:space="preserve">5. Semaine 6 — repose des accessoires, nettoyage de réception, levée de réserves.</w:t>
      </w:r>
    </w:p>
    <w:p>
      <w:pPr>
        <w:spacing w:after="200"/>
      </w:pPr>
      <w:r>
        <w:t xml:space="preserve">Un plan de prévention (art. R4512-6 du Code du travail) sera établi avec le maître d'ouvrage avant démarrage. Dans l'hypothèse où l'opération relèverait d'une coordination SPS au sens des art. R4532-2 et suivants du Code du travail (présence simultanée de plusieurs entreprises, ou volume d'heures déclenchant l'obligation), un PPSPS sera transmis au coordonnateur SPS désigné par le maître d'ouvrage. Les déchets seront évacués selon la nomenclature 17.09.04 (déchets de peinture non dangereux) vers la déchetterie agréée Veolia de la zone et tracés via Trackdéchets.</w:t>
      </w:r>
    </w:p>
    <w:p>
      <w:pPr>
        <w:pStyle w:val="Heading1"/>
        <w:spacing w:after="200" w:before="400"/>
      </w:pPr>
      <w:r>
        <w:rPr>
          <w:b/>
          <w:bCs/>
          <w:color w:val="d97706"/>
        </w:rPr>
        <w:t xml:space="preserve">4. Moyens humains et matériels</w:t>
      </w:r>
    </w:p>
    <w:p>
      <w:pPr>
        <w:spacing w:after="200"/>
      </w:pPr>
      <w:r>
        <w:t xml:space="preserve">Équipe dédiée : 1 chef d'équipe (12 ans d'expérience, QUALIBAT 6121, habilitation H0/B0), 3 peintres qualifiés N3, 1 apprenti CAP 2e année. CV nominatifs joints à l'annexe 4.</w:t>
      </w:r>
    </w:p>
    <w:p>
      <w:pPr>
        <w:spacing w:after="200"/>
      </w:pPr>
      <w:r>
        <w:t xml:space="preserve">Matériel mobilisé : pulvérisateur airless Wagner Finish 270, échafaudage roulant Comabi (catégorie B), aspirateurs HEPA Festool CTL 36, équipements EPI conformes art. R4323-91 du Code du travail. Aucune sous-traitance prévue.</w:t>
      </w:r>
    </w:p>
    <w:p>
      <w:pPr>
        <w:pStyle w:val="Heading1"/>
        <w:spacing w:after="200" w:before="400"/>
      </w:pPr>
      <w:r>
        <w:rPr>
          <w:b/>
          <w:bCs/>
          <w:color w:val="d97706"/>
        </w:rPr>
        <w:t xml:space="preserve">5. Démarche qualité, sécurité et environnement</w:t>
      </w:r>
    </w:p>
    <w:p>
      <w:pPr>
        <w:spacing w:after="200"/>
      </w:pPr>
      <w:r>
        <w:t xml:space="preserve">Toutes nos peintures intérieures portent l'étiquetage A+ (Décret 2011-321) et sont classées B-s1,d0 au feu (norme NF EN 13501-1). Les fiches techniques et FDS seront communiquées avant exécution.</w:t>
      </w:r>
    </w:p>
    <w:p>
      <w:pPr>
        <w:spacing w:after="200"/>
      </w:pPr>
      <w:r>
        <w:t xml:space="preserve">Les déchets de chantier sont triés en 4 flux (DIB, dangereux, métal, papier) et tracés via les bordereaux Trackdéchets. Notre taux de valorisation matière 2025 est de 68 % (donnée auditable).</w:t>
      </w:r>
    </w:p>
    <w:p>
      <w:pPr>
        <w:pStyle w:val="Heading1"/>
        <w:spacing w:after="200" w:before="400"/>
      </w:pPr>
      <w:r>
        <w:rPr>
          <w:b/>
          <w:bCs/>
          <w:color w:val="d97706"/>
        </w:rPr>
        <w:t xml:space="preserve">6. Références récentes (à personnaliser)</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[Objet] — [Montant HT] — [Date réception] — Attestation de bonne exécution disponible.</w:t>
      </w:r>
    </w:p>
    <w:p>
      <w:pPr>
        <w:spacing w:after="200"/>
      </w:pPr>
      <w:r>
        <w:t xml:space="preserve">• [Pouvoir adjudicateur réel] — [Objet] — [Montant HT] — [Date réception] — Marché renouvelé.</w:t>
      </w:r>
    </w:p>
    <w:p>
      <w:pPr>
        <w:pStyle w:val="Heading1"/>
        <w:spacing w:after="200" w:before="400"/>
      </w:pPr>
      <w:r>
        <w:rPr>
          <w:b/>
          <w:bCs/>
          <w:color w:val="d97706"/>
        </w:rPr>
        <w:t xml:space="preserve">7. Engagements de service</w:t>
      </w:r>
    </w:p>
    <w:p>
      <w:pPr>
        <w:spacing w:after="200"/>
      </w:pPr>
      <w:r>
        <w:t xml:space="preserve">• Réactivité : présence sur site sous 4 h en cas de demande urgente du maître d'ouvrage.</w:t>
      </w:r>
    </w:p>
    <w:p>
      <w:pPr>
        <w:spacing w:after="200"/>
      </w:pPr>
      <w:r>
        <w:t xml:space="preserve">• Garantie de parfait achèvement : 1 an à compter de la réception (art. 1792-6 du Code civil) couvrant l'ensemble des désordres signalés à la réception ou dans l'année qui suit.</w:t>
      </w:r>
    </w:p>
    <w:p>
      <w:pPr>
        <w:spacing w:after="200"/>
      </w:pPr>
      <w:r>
        <w:t xml:space="preserve">• Garantie biennale de bon fonctionnement : 2 ans sur les éléments d'équipement dissociables (art. 1792-3 du Code civil).</w:t>
      </w:r>
    </w:p>
    <w:p>
      <w:pPr>
        <w:spacing w:after="200"/>
      </w:pPr>
      <w:r>
        <w:t xml:space="preserve">• Assurances : RC professionnelle MAAF Pro (3 M€) ; assurance décennale obligatoire des constructeurs (art. L241-1 du Code des assurances, plafond 5 M€) attestée pour tout dommage relevant de l'art. 1792 (compromission de solidité ou impropriété à destination) — étant rappelé que la peinture intérieure ne constitue pas, en règle générale, un élément couvert par la décennale au sens jurisprudentiel.</w:t>
      </w:r>
    </w:p>
    <w:p>
      <w:pPr>
        <w:spacing w:after="200"/>
      </w:pPr>
      <w:r>
        <w:t xml:space="preserve">• Pénalités acceptées : 1/1000e du marché par jour calendaire de retard (capées à 5 %).</w:t>
      </w:r>
    </w:p>
    <w:p>
      <w:pPr>
        <w:spacing w:after="200"/>
      </w:pPr>
      <w:r>
        <w:t xml:space="preserve">• Attestations d'assurance détaillées en annexe 5.</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A — Planning prévisionnel</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Phase</w:t>
            </w:r>
          </w:p>
        </w:tc>
        <w:tc>
          <w:tcPr>
            <w:shd w:fill="FFF7E6" w:color="auto"/>
          </w:tcPr>
          <w:p>
            <w:pPr>
              <w:spacing w:after="80" w:before="80"/>
            </w:pPr>
            <w:r>
              <w:rPr>
                <w:b/>
                <w:bCs/>
                <w:color w:val="92400e"/>
                <w:sz w:val="20"/>
                <w:szCs w:val="20"/>
              </w:rPr>
              <w:t xml:space="preserve">Début</w:t>
            </w:r>
          </w:p>
        </w:tc>
        <w:tc>
          <w:tcPr>
            <w:shd w:fill="FFF7E6" w:color="auto"/>
          </w:tcPr>
          <w:p>
            <w:pPr>
              <w:spacing w:after="80" w:before="80"/>
            </w:pPr>
            <w:r>
              <w:rPr>
                <w:b/>
                <w:bCs/>
                <w:color w:val="92400e"/>
                <w:sz w:val="20"/>
                <w:szCs w:val="20"/>
              </w:rPr>
              <w:t xml:space="preserve">Fin</w:t>
            </w:r>
          </w:p>
        </w:tc>
        <w:tc>
          <w:tcPr>
            <w:shd w:fill="FFF7E6" w:color="auto"/>
          </w:tcPr>
          <w:p>
            <w:pPr>
              <w:spacing w:after="80" w:before="80"/>
            </w:pPr>
            <w:r>
              <w:rPr>
                <w:b/>
                <w:bCs/>
                <w:color w:val="92400e"/>
                <w:sz w:val="20"/>
                <w:szCs w:val="20"/>
              </w:rPr>
              <w:t xml:space="preserve">Effectif</w:t>
            </w:r>
          </w:p>
        </w:tc>
      </w:tr>
      <w:tr>
        <w:tc>
          <w:p>
            <w:pPr>
              <w:spacing w:after="60" w:before="60"/>
            </w:pPr>
            <w:r>
              <w:rPr>
                <w:sz w:val="18"/>
                <w:szCs w:val="18"/>
              </w:rPr>
              <w:t xml:space="preserve">Installation, protections, dépose accessoires</w:t>
            </w:r>
          </w:p>
        </w:tc>
        <w:tc>
          <w:p>
            <w:pPr>
              <w:spacing w:after="60" w:before="60"/>
            </w:pPr>
            <w:r>
              <w:rPr>
                <w:sz w:val="18"/>
                <w:szCs w:val="18"/>
              </w:rPr>
              <w:t xml:space="preserve">S1</w:t>
            </w:r>
          </w:p>
        </w:tc>
        <w:tc>
          <w:p>
            <w:pPr>
              <w:spacing w:after="60" w:before="60"/>
            </w:pPr>
            <w:r>
              <w:rPr>
                <w:sz w:val="18"/>
                <w:szCs w:val="18"/>
              </w:rPr>
              <w:t xml:space="preserve">S1</w:t>
            </w:r>
          </w:p>
        </w:tc>
        <w:tc>
          <w:p>
            <w:pPr>
              <w:spacing w:after="60" w:before="60"/>
            </w:pPr>
            <w:r>
              <w:rPr>
                <w:sz w:val="18"/>
                <w:szCs w:val="18"/>
              </w:rPr>
              <w:t xml:space="preserve">2,5 ETP</w:t>
            </w:r>
          </w:p>
        </w:tc>
      </w:tr>
      <w:tr>
        <w:tc>
          <w:p>
            <w:pPr>
              <w:spacing w:after="60" w:before="60"/>
            </w:pPr>
            <w:r>
              <w:rPr>
                <w:sz w:val="18"/>
                <w:szCs w:val="18"/>
              </w:rPr>
              <w:t xml:space="preserve">Reprise enduits, ponçage, dépoussiérage HEPA</w:t>
            </w:r>
          </w:p>
        </w:tc>
        <w:tc>
          <w:p>
            <w:pPr>
              <w:spacing w:after="60" w:before="60"/>
            </w:pPr>
            <w:r>
              <w:rPr>
                <w:sz w:val="18"/>
                <w:szCs w:val="18"/>
              </w:rPr>
              <w:t xml:space="preserve">S2</w:t>
            </w:r>
          </w:p>
        </w:tc>
        <w:tc>
          <w:p>
            <w:pPr>
              <w:spacing w:after="60" w:before="60"/>
            </w:pPr>
            <w:r>
              <w:rPr>
                <w:sz w:val="18"/>
                <w:szCs w:val="18"/>
              </w:rPr>
              <w:t xml:space="preserve">S2</w:t>
            </w:r>
          </w:p>
        </w:tc>
        <w:tc>
          <w:p>
            <w:pPr>
              <w:spacing w:after="60" w:before="60"/>
            </w:pPr>
            <w:r>
              <w:rPr>
                <w:sz w:val="18"/>
                <w:szCs w:val="18"/>
              </w:rPr>
              <w:t xml:space="preserve">3 ETP</w:t>
            </w:r>
          </w:p>
        </w:tc>
      </w:tr>
      <w:tr>
        <w:tc>
          <w:p>
            <w:pPr>
              <w:spacing w:after="60" w:before="60"/>
            </w:pPr>
            <w:r>
              <w:rPr>
                <w:sz w:val="18"/>
                <w:szCs w:val="18"/>
              </w:rPr>
              <w:t xml:space="preserve">Sous-couche acrylique tous supports</w:t>
            </w:r>
          </w:p>
        </w:tc>
        <w:tc>
          <w:p>
            <w:pPr>
              <w:spacing w:after="60" w:before="60"/>
            </w:pPr>
            <w:r>
              <w:rPr>
                <w:sz w:val="18"/>
                <w:szCs w:val="18"/>
              </w:rPr>
              <w:t xml:space="preserve">S2</w:t>
            </w:r>
          </w:p>
        </w:tc>
        <w:tc>
          <w:p>
            <w:pPr>
              <w:spacing w:after="60" w:before="60"/>
            </w:pPr>
            <w:r>
              <w:rPr>
                <w:sz w:val="18"/>
                <w:szCs w:val="18"/>
              </w:rPr>
              <w:t xml:space="preserve">S3</w:t>
            </w:r>
          </w:p>
        </w:tc>
        <w:tc>
          <w:p>
            <w:pPr>
              <w:spacing w:after="60" w:before="60"/>
            </w:pPr>
            <w:r>
              <w:rPr>
                <w:sz w:val="18"/>
                <w:szCs w:val="18"/>
              </w:rPr>
              <w:t xml:space="preserve">3 ETP</w:t>
            </w:r>
          </w:p>
        </w:tc>
      </w:tr>
      <w:tr>
        <w:tc>
          <w:p>
            <w:pPr>
              <w:spacing w:after="60" w:before="60"/>
            </w:pPr>
            <w:r>
              <w:rPr>
                <w:sz w:val="18"/>
                <w:szCs w:val="18"/>
              </w:rPr>
              <w:t xml:space="preserve">1ère couche finition A+ — classes 1 à 3</w:t>
            </w:r>
          </w:p>
        </w:tc>
        <w:tc>
          <w:p>
            <w:pPr>
              <w:spacing w:after="60" w:before="60"/>
            </w:pPr>
            <w:r>
              <w:rPr>
                <w:sz w:val="18"/>
                <w:szCs w:val="18"/>
              </w:rPr>
              <w:t xml:space="preserve">S3</w:t>
            </w:r>
          </w:p>
        </w:tc>
        <w:tc>
          <w:p>
            <w:pPr>
              <w:spacing w:after="60" w:before="60"/>
            </w:pPr>
            <w:r>
              <w:rPr>
                <w:sz w:val="18"/>
                <w:szCs w:val="18"/>
              </w:rPr>
              <w:t xml:space="preserve">S4</w:t>
            </w:r>
          </w:p>
        </w:tc>
        <w:tc>
          <w:p>
            <w:pPr>
              <w:spacing w:after="60" w:before="60"/>
            </w:pPr>
            <w:r>
              <w:rPr>
                <w:sz w:val="18"/>
                <w:szCs w:val="18"/>
              </w:rPr>
              <w:t xml:space="preserve">4 ETP</w:t>
            </w:r>
          </w:p>
        </w:tc>
      </w:tr>
      <w:tr>
        <w:tc>
          <w:p>
            <w:pPr>
              <w:spacing w:after="60" w:before="60"/>
            </w:pPr>
            <w:r>
              <w:rPr>
                <w:sz w:val="18"/>
                <w:szCs w:val="18"/>
              </w:rPr>
              <w:t xml:space="preserve">2ème couche finition A+ — classes 1 à 3</w:t>
            </w:r>
          </w:p>
        </w:tc>
        <w:tc>
          <w:p>
            <w:pPr>
              <w:spacing w:after="60" w:before="60"/>
            </w:pPr>
            <w:r>
              <w:rPr>
                <w:sz w:val="18"/>
                <w:szCs w:val="18"/>
              </w:rPr>
              <w:t xml:space="preserve">S4</w:t>
            </w:r>
          </w:p>
        </w:tc>
        <w:tc>
          <w:p>
            <w:pPr>
              <w:spacing w:after="60" w:before="60"/>
            </w:pPr>
            <w:r>
              <w:rPr>
                <w:sz w:val="18"/>
                <w:szCs w:val="18"/>
              </w:rPr>
              <w:t xml:space="preserve">S4</w:t>
            </w:r>
          </w:p>
        </w:tc>
        <w:tc>
          <w:p>
            <w:pPr>
              <w:spacing w:after="60" w:before="60"/>
            </w:pPr>
            <w:r>
              <w:rPr>
                <w:sz w:val="18"/>
                <w:szCs w:val="18"/>
              </w:rPr>
              <w:t xml:space="preserve">4 ETP</w:t>
            </w:r>
          </w:p>
        </w:tc>
      </w:tr>
      <w:tr>
        <w:tc>
          <w:p>
            <w:pPr>
              <w:spacing w:after="60" w:before="60"/>
            </w:pPr>
            <w:r>
              <w:rPr>
                <w:sz w:val="18"/>
                <w:szCs w:val="18"/>
              </w:rPr>
              <w:t xml:space="preserve">Circulations + sanitaires (peinture lessivable)</w:t>
            </w:r>
          </w:p>
        </w:tc>
        <w:tc>
          <w:p>
            <w:pPr>
              <w:spacing w:after="60" w:before="60"/>
            </w:pPr>
            <w:r>
              <w:rPr>
                <w:sz w:val="18"/>
                <w:szCs w:val="18"/>
              </w:rPr>
              <w:t xml:space="preserve">S5</w:t>
            </w:r>
          </w:p>
        </w:tc>
        <w:tc>
          <w:p>
            <w:pPr>
              <w:spacing w:after="60" w:before="60"/>
            </w:pPr>
            <w:r>
              <w:rPr>
                <w:sz w:val="18"/>
                <w:szCs w:val="18"/>
              </w:rPr>
              <w:t xml:space="preserve">S5</w:t>
            </w:r>
          </w:p>
        </w:tc>
        <w:tc>
          <w:p>
            <w:pPr>
              <w:spacing w:after="60" w:before="60"/>
            </w:pPr>
            <w:r>
              <w:rPr>
                <w:sz w:val="18"/>
                <w:szCs w:val="18"/>
              </w:rPr>
              <w:t xml:space="preserve">3 ETP</w:t>
            </w:r>
          </w:p>
        </w:tc>
      </w:tr>
      <w:tr>
        <w:tc>
          <w:p>
            <w:pPr>
              <w:spacing w:after="60" w:before="60"/>
            </w:pPr>
            <w:r>
              <w:rPr>
                <w:sz w:val="18"/>
                <w:szCs w:val="18"/>
              </w:rPr>
              <w:t xml:space="preserve">Repose accessoires, nettoyage, levée réserves</w:t>
            </w:r>
          </w:p>
        </w:tc>
        <w:tc>
          <w:p>
            <w:pPr>
              <w:spacing w:after="60" w:before="60"/>
            </w:pPr>
            <w:r>
              <w:rPr>
                <w:sz w:val="18"/>
                <w:szCs w:val="18"/>
              </w:rPr>
              <w:t xml:space="preserve">S6</w:t>
            </w:r>
          </w:p>
        </w:tc>
        <w:tc>
          <w:p>
            <w:pPr>
              <w:spacing w:after="60" w:before="60"/>
            </w:pPr>
            <w:r>
              <w:rPr>
                <w:sz w:val="18"/>
                <w:szCs w:val="18"/>
              </w:rPr>
              <w:t xml:space="preserve">S6</w:t>
            </w:r>
          </w:p>
        </w:tc>
        <w:tc>
          <w:p>
            <w:pPr>
              <w:spacing w:after="60" w:before="60"/>
            </w:pPr>
            <w:r>
              <w:rPr>
                <w:sz w:val="18"/>
                <w:szCs w:val="18"/>
              </w:rPr>
              <w:t xml:space="preserve">2 ETP</w:t>
            </w:r>
          </w:p>
        </w:tc>
      </w:tr>
    </w:tbl>
    <w:p>
      <w:pPr>
        <w:pStyle w:val="Heading1"/>
        <w:spacing w:after="200" w:before="400"/>
      </w:pPr>
      <w:r>
        <w:rPr>
          <w:b/>
          <w:bCs/>
          <w:color w:val="d97706"/>
        </w:rPr>
        <w:t xml:space="preserve">Annexe B — Matrice des risques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Risque identifié</w:t>
            </w:r>
          </w:p>
        </w:tc>
        <w:tc>
          <w:tcPr>
            <w:shd w:fill="FFF7E6" w:color="auto"/>
          </w:tcPr>
          <w:p>
            <w:pPr>
              <w:spacing w:after="80" w:before="80"/>
            </w:pPr>
            <w:r>
              <w:rPr>
                <w:b/>
                <w:bCs/>
                <w:color w:val="92400e"/>
                <w:sz w:val="20"/>
                <w:szCs w:val="20"/>
              </w:rPr>
              <w:t xml:space="preserve">Probabilité</w:t>
            </w:r>
          </w:p>
        </w:tc>
        <w:tc>
          <w:tcPr>
            <w:shd w:fill="FFF7E6" w:color="auto"/>
          </w:tcPr>
          <w:p>
            <w:pPr>
              <w:spacing w:after="80" w:before="80"/>
            </w:pPr>
            <w:r>
              <w:rPr>
                <w:b/>
                <w:bCs/>
                <w:color w:val="92400e"/>
                <w:sz w:val="20"/>
                <w:szCs w:val="20"/>
              </w:rPr>
              <w:t xml:space="preserve">Gravité</w:t>
            </w:r>
          </w:p>
        </w:tc>
        <w:tc>
          <w:tcPr>
            <w:shd w:fill="FFF7E6" w:color="auto"/>
          </w:tcPr>
          <w:p>
            <w:pPr>
              <w:spacing w:after="80" w:before="80"/>
            </w:pPr>
            <w:r>
              <w:rPr>
                <w:b/>
                <w:bCs/>
                <w:color w:val="92400e"/>
                <w:sz w:val="20"/>
                <w:szCs w:val="20"/>
              </w:rPr>
              <w:t xml:space="preserve">Mesure préventive</w:t>
            </w:r>
          </w:p>
        </w:tc>
      </w:tr>
      <w:tr>
        <w:tc>
          <w:p>
            <w:pPr>
              <w:spacing w:after="60" w:before="60"/>
            </w:pPr>
            <w:r>
              <w:rPr>
                <w:sz w:val="18"/>
                <w:szCs w:val="18"/>
              </w:rPr>
              <w:t xml:space="preserve">Retard dû aux conditions hygrométriques (séchage)</w:t>
            </w:r>
          </w:p>
        </w:tc>
        <w:tc>
          <w:p>
            <w:pPr>
              <w:spacing w:after="60" w:before="60"/>
            </w:pPr>
            <w:r>
              <w:rPr>
                <w:sz w:val="18"/>
                <w:szCs w:val="18"/>
              </w:rPr>
              <w:t xml:space="preserve">Moyenne</w:t>
            </w:r>
          </w:p>
        </w:tc>
        <w:tc>
          <w:p>
            <w:pPr>
              <w:spacing w:after="60" w:before="60"/>
            </w:pPr>
            <w:r>
              <w:rPr>
                <w:sz w:val="18"/>
                <w:szCs w:val="18"/>
              </w:rPr>
              <w:t xml:space="preserve">Élevée</w:t>
            </w:r>
          </w:p>
        </w:tc>
        <w:tc>
          <w:p>
            <w:pPr>
              <w:spacing w:after="60" w:before="60"/>
            </w:pPr>
            <w:r>
              <w:rPr>
                <w:sz w:val="18"/>
                <w:szCs w:val="18"/>
              </w:rPr>
              <w:t xml:space="preserve">Déshumidificateurs en stock, suivi quotidien hygrométrie HR &lt;70%</w:t>
            </w:r>
          </w:p>
        </w:tc>
      </w:tr>
      <w:tr>
        <w:tc>
          <w:p>
            <w:pPr>
              <w:spacing w:after="60" w:before="60"/>
            </w:pPr>
            <w:r>
              <w:rPr>
                <w:sz w:val="18"/>
                <w:szCs w:val="18"/>
              </w:rPr>
              <w:t xml:space="preserve">Détection amiante/plomb sur reprises d'enduits anciens</w:t>
            </w:r>
          </w:p>
        </w:tc>
        <w:tc>
          <w:p>
            <w:pPr>
              <w:spacing w:after="60" w:before="60"/>
            </w:pPr>
            <w:r>
              <w:rPr>
                <w:sz w:val="18"/>
                <w:szCs w:val="18"/>
              </w:rPr>
              <w:t xml:space="preserve">Faible</w:t>
            </w:r>
          </w:p>
        </w:tc>
        <w:tc>
          <w:p>
            <w:pPr>
              <w:spacing w:after="60" w:before="60"/>
            </w:pPr>
            <w:r>
              <w:rPr>
                <w:sz w:val="18"/>
                <w:szCs w:val="18"/>
              </w:rPr>
              <w:t xml:space="preserve">Élevée</w:t>
            </w:r>
          </w:p>
        </w:tc>
        <w:tc>
          <w:p>
            <w:pPr>
              <w:spacing w:after="60" w:before="60"/>
            </w:pPr>
            <w:r>
              <w:rPr>
                <w:sz w:val="18"/>
                <w:szCs w:val="18"/>
              </w:rPr>
              <w:t xml:space="preserve">Diagnostic préalable obligatoire — arrêt immédiat + déclaration MOE</w:t>
            </w:r>
          </w:p>
        </w:tc>
      </w:tr>
      <w:tr>
        <w:tc>
          <w:p>
            <w:pPr>
              <w:spacing w:after="60" w:before="60"/>
            </w:pPr>
            <w:r>
              <w:rPr>
                <w:sz w:val="18"/>
                <w:szCs w:val="18"/>
              </w:rPr>
              <w:t xml:space="preserve">Glissement planning sur rentrée scolaire 1er septembre</w:t>
            </w:r>
          </w:p>
        </w:tc>
        <w:tc>
          <w:p>
            <w:pPr>
              <w:spacing w:after="60" w:before="60"/>
            </w:pPr>
            <w:r>
              <w:rPr>
                <w:sz w:val="18"/>
                <w:szCs w:val="18"/>
              </w:rPr>
              <w:t xml:space="preserve">Faible</w:t>
            </w:r>
          </w:p>
        </w:tc>
        <w:tc>
          <w:p>
            <w:pPr>
              <w:spacing w:after="60" w:before="60"/>
            </w:pPr>
            <w:r>
              <w:rPr>
                <w:sz w:val="18"/>
                <w:szCs w:val="18"/>
              </w:rPr>
              <w:t xml:space="preserve">Élevée</w:t>
            </w:r>
          </w:p>
        </w:tc>
        <w:tc>
          <w:p>
            <w:pPr>
              <w:spacing w:after="60" w:before="60"/>
            </w:pPr>
            <w:r>
              <w:rPr>
                <w:sz w:val="18"/>
                <w:szCs w:val="18"/>
              </w:rPr>
              <w:t xml:space="preserve">Démarrage 6 sem avant, équipe renforcée S5-S6, samedis prévus en plan B</w:t>
            </w:r>
          </w:p>
        </w:tc>
      </w:tr>
      <w:tr>
        <w:tc>
          <w:p>
            <w:pPr>
              <w:spacing w:after="60" w:before="60"/>
            </w:pPr>
            <w:r>
              <w:rPr>
                <w:sz w:val="18"/>
                <w:szCs w:val="18"/>
              </w:rPr>
              <w:t xml:space="preserve">Allergie/irritation enfants à la rentrée (COV résiduel)</w:t>
            </w:r>
          </w:p>
        </w:tc>
        <w:tc>
          <w:p>
            <w:pPr>
              <w:spacing w:after="60" w:before="60"/>
            </w:pPr>
            <w:r>
              <w:rPr>
                <w:sz w:val="18"/>
                <w:szCs w:val="18"/>
              </w:rPr>
              <w:t xml:space="preserve">Faible</w:t>
            </w:r>
          </w:p>
        </w:tc>
        <w:tc>
          <w:p>
            <w:pPr>
              <w:spacing w:after="60" w:before="60"/>
            </w:pPr>
            <w:r>
              <w:rPr>
                <w:sz w:val="18"/>
                <w:szCs w:val="18"/>
              </w:rPr>
              <w:t xml:space="preserve">Moyenne</w:t>
            </w:r>
          </w:p>
        </w:tc>
        <w:tc>
          <w:p>
            <w:pPr>
              <w:spacing w:after="60" w:before="60"/>
            </w:pPr>
            <w:r>
              <w:rPr>
                <w:sz w:val="18"/>
                <w:szCs w:val="18"/>
              </w:rPr>
              <w:t xml:space="preserve">Aération forcée 72h avant remise, mesures COV par lab indépendant</w:t>
            </w:r>
          </w:p>
        </w:tc>
      </w:tr>
      <w:tr>
        <w:tc>
          <w:p>
            <w:pPr>
              <w:spacing w:after="60" w:before="60"/>
            </w:pPr>
            <w:r>
              <w:rPr>
                <w:sz w:val="18"/>
                <w:szCs w:val="18"/>
              </w:rPr>
              <w:t xml:space="preserve">Vandalisme/dégradation chantier hors heures</w:t>
            </w:r>
          </w:p>
        </w:tc>
        <w:tc>
          <w:p>
            <w:pPr>
              <w:spacing w:after="60" w:before="60"/>
            </w:pPr>
            <w:r>
              <w:rPr>
                <w:sz w:val="18"/>
                <w:szCs w:val="18"/>
              </w:rPr>
              <w:t xml:space="preserve">Faible</w:t>
            </w:r>
          </w:p>
        </w:tc>
        <w:tc>
          <w:p>
            <w:pPr>
              <w:spacing w:after="60" w:before="60"/>
            </w:pPr>
            <w:r>
              <w:rPr>
                <w:sz w:val="18"/>
                <w:szCs w:val="18"/>
              </w:rPr>
              <w:t xml:space="preserve">Faible</w:t>
            </w:r>
          </w:p>
        </w:tc>
        <w:tc>
          <w:p>
            <w:pPr>
              <w:spacing w:after="60" w:before="60"/>
            </w:pPr>
            <w:r>
              <w:rPr>
                <w:sz w:val="18"/>
                <w:szCs w:val="18"/>
              </w:rPr>
              <w:t xml:space="preserve">Sécurisation accès, alarme mobile, RC chantier</w:t>
            </w:r>
          </w:p>
        </w:tc>
      </w:tr>
    </w:tbl>
    <w:p>
      <w:pPr>
        <w:pStyle w:val="Heading1"/>
        <w:spacing w:after="200" w:before="400"/>
      </w:pPr>
      <w:r>
        <w:rPr>
          <w:b/>
          <w:bCs/>
          <w:color w:val="d97706"/>
        </w:rPr>
        <w:t xml:space="preserve">Annexe C — Produits et fiches techniques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Produit / Fournisseur</w:t>
            </w:r>
          </w:p>
        </w:tc>
        <w:tc>
          <w:tcPr>
            <w:shd w:fill="FFF7E6" w:color="auto"/>
          </w:tcPr>
          <w:p>
            <w:pPr>
              <w:spacing w:after="80" w:before="80"/>
            </w:pPr>
            <w:r>
              <w:rPr>
                <w:b/>
                <w:bCs/>
                <w:color w:val="92400e"/>
                <w:sz w:val="20"/>
                <w:szCs w:val="20"/>
              </w:rPr>
              <w:t xml:space="preserve">Certifications</w:t>
            </w:r>
          </w:p>
        </w:tc>
        <w:tc>
          <w:tcPr>
            <w:shd w:fill="FFF7E6" w:color="auto"/>
          </w:tcPr>
          <w:p>
            <w:pPr>
              <w:spacing w:after="80" w:before="80"/>
            </w:pPr>
            <w:r>
              <w:rPr>
                <w:b/>
                <w:bCs/>
                <w:color w:val="92400e"/>
                <w:sz w:val="20"/>
                <w:szCs w:val="20"/>
              </w:rPr>
              <w:t xml:space="preserve">Classement feu</w:t>
            </w:r>
          </w:p>
        </w:tc>
        <w:tc>
          <w:tcPr>
            <w:shd w:fill="FFF7E6" w:color="auto"/>
          </w:tcPr>
          <w:p>
            <w:pPr>
              <w:spacing w:after="80" w:before="80"/>
            </w:pPr>
            <w:r>
              <w:rPr>
                <w:b/>
                <w:bCs/>
                <w:color w:val="92400e"/>
                <w:sz w:val="20"/>
                <w:szCs w:val="20"/>
              </w:rPr>
              <w:t xml:space="preserve">COV</w:t>
            </w:r>
          </w:p>
        </w:tc>
      </w:tr>
      <w:tr>
        <w:tc>
          <w:p>
            <w:pPr>
              <w:spacing w:after="60" w:before="60"/>
            </w:pPr>
            <w:r>
              <w:rPr>
                <w:sz w:val="18"/>
                <w:szCs w:val="18"/>
              </w:rPr>
              <w:t xml:space="preserve">Peinture acrylique satinée murs (Tollens Murs Rénov A+) — Tollens</w:t>
            </w:r>
          </w:p>
        </w:tc>
        <w:tc>
          <w:p>
            <w:pPr>
              <w:spacing w:after="60" w:before="60"/>
            </w:pPr>
            <w:r>
              <w:rPr>
                <w:sz w:val="18"/>
                <w:szCs w:val="18"/>
              </w:rPr>
              <w:t xml:space="preserve">Étiquetage A+</w:t>
            </w:r>
          </w:p>
        </w:tc>
        <w:tc>
          <w:p>
            <w:pPr>
              <w:spacing w:after="60" w:before="60"/>
            </w:pPr>
            <w:r>
              <w:rPr>
                <w:sz w:val="18"/>
                <w:szCs w:val="18"/>
              </w:rPr>
              <w:t xml:space="preserve">B-s1,d0 (NF EN 13501-1)</w:t>
            </w:r>
          </w:p>
        </w:tc>
        <w:tc>
          <w:p>
            <w:pPr>
              <w:spacing w:after="60" w:before="60"/>
            </w:pPr>
            <w:r>
              <w:rPr>
                <w:sz w:val="18"/>
                <w:szCs w:val="18"/>
              </w:rPr>
              <w:t xml:space="preserve">&lt;1 g/L</w:t>
            </w:r>
          </w:p>
        </w:tc>
      </w:tr>
      <w:tr>
        <w:tc>
          <w:p>
            <w:pPr>
              <w:spacing w:after="60" w:before="60"/>
            </w:pPr>
            <w:r>
              <w:rPr>
                <w:sz w:val="18"/>
                <w:szCs w:val="18"/>
              </w:rPr>
              <w:t xml:space="preserve">Peinture lessivable sanitaires (Tollens Hygiène Pro) — Tollens</w:t>
            </w:r>
          </w:p>
        </w:tc>
        <w:tc>
          <w:p>
            <w:pPr>
              <w:spacing w:after="60" w:before="60"/>
            </w:pPr>
            <w:r>
              <w:rPr>
                <w:sz w:val="18"/>
                <w:szCs w:val="18"/>
              </w:rPr>
              <w:t xml:space="preserve">Étiquetage A+, NF Environnement</w:t>
            </w:r>
          </w:p>
        </w:tc>
        <w:tc>
          <w:p>
            <w:pPr>
              <w:spacing w:after="60" w:before="60"/>
            </w:pPr>
            <w:r>
              <w:rPr>
                <w:sz w:val="18"/>
                <w:szCs w:val="18"/>
              </w:rPr>
              <w:t xml:space="preserve">B-s1,d0</w:t>
            </w:r>
          </w:p>
        </w:tc>
        <w:tc>
          <w:p>
            <w:pPr>
              <w:spacing w:after="60" w:before="60"/>
            </w:pPr>
            <w:r>
              <w:rPr>
                <w:sz w:val="18"/>
                <w:szCs w:val="18"/>
              </w:rPr>
              <w:t xml:space="preserve">&lt;5 g/L</w:t>
            </w:r>
          </w:p>
        </w:tc>
      </w:tr>
      <w:tr>
        <w:tc>
          <w:p>
            <w:pPr>
              <w:spacing w:after="60" w:before="60"/>
            </w:pPr>
            <w:r>
              <w:rPr>
                <w:sz w:val="18"/>
                <w:szCs w:val="18"/>
              </w:rPr>
              <w:t xml:space="preserve">Sous-couche acrylique universelle — Zolpan</w:t>
            </w:r>
          </w:p>
        </w:tc>
        <w:tc>
          <w:p>
            <w:pPr>
              <w:spacing w:after="60" w:before="60"/>
            </w:pPr>
            <w:r>
              <w:rPr>
                <w:sz w:val="18"/>
                <w:szCs w:val="18"/>
              </w:rPr>
              <w:t xml:space="preserve">Étiquetage A+</w:t>
            </w:r>
          </w:p>
        </w:tc>
        <w:tc>
          <w:p>
            <w:pPr>
              <w:spacing w:after="60" w:before="60"/>
            </w:pPr>
            <w:r>
              <w:rPr>
                <w:sz w:val="18"/>
                <w:szCs w:val="18"/>
              </w:rPr>
              <w:t xml:space="preserve">B-s2,d0</w:t>
            </w:r>
          </w:p>
        </w:tc>
        <w:tc>
          <w:p>
            <w:pPr>
              <w:spacing w:after="60" w:before="60"/>
            </w:pPr>
            <w:r>
              <w:rPr>
                <w:sz w:val="18"/>
                <w:szCs w:val="18"/>
              </w:rPr>
              <w:t xml:space="preserve">&lt;10 g/L</w:t>
            </w:r>
          </w:p>
        </w:tc>
      </w:tr>
      <w:tr>
        <w:tc>
          <w:p>
            <w:pPr>
              <w:spacing w:after="60" w:before="60"/>
            </w:pPr>
            <w:r>
              <w:rPr>
                <w:sz w:val="18"/>
                <w:szCs w:val="18"/>
              </w:rPr>
              <w:t xml:space="preserve">Enduit de rebouchage PRB Lissium — PRB</w:t>
            </w:r>
          </w:p>
        </w:tc>
        <w:tc>
          <w:p>
            <w:pPr>
              <w:spacing w:after="60" w:before="60"/>
            </w:pPr>
            <w:r>
              <w:rPr>
                <w:sz w:val="18"/>
                <w:szCs w:val="18"/>
              </w:rPr>
              <w:t xml:space="preserve">Étiquetage A+</w:t>
            </w:r>
          </w:p>
        </w:tc>
        <w:tc>
          <w:p>
            <w:pPr>
              <w:spacing w:after="60" w:before="60"/>
            </w:pPr>
            <w:r>
              <w:rPr>
                <w:sz w:val="18"/>
                <w:szCs w:val="18"/>
              </w:rPr>
              <w:t xml:space="preserve">—</w:t>
            </w:r>
          </w:p>
        </w:tc>
        <w:tc>
          <w:p>
            <w:pPr>
              <w:spacing w:after="60" w:before="60"/>
            </w:pPr>
            <w:r>
              <w:rPr>
                <w:sz w:val="18"/>
                <w:szCs w:val="18"/>
              </w:rPr>
              <w:t xml:space="preserve">—</w:t>
            </w:r>
          </w:p>
        </w:tc>
      </w:tr>
    </w:tbl>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[Chef d'équipe — initiales seulement]</w:t>
            </w:r>
          </w:p>
        </w:tc>
        <w:tc>
          <w:p>
            <w:pPr>
              <w:spacing w:after="60" w:before="60"/>
            </w:pPr>
            <w:r>
              <w:rPr>
                <w:sz w:val="18"/>
                <w:szCs w:val="18"/>
              </w:rPr>
              <w:t xml:space="preserve">Chef d'équipe peintre</w:t>
            </w:r>
          </w:p>
        </w:tc>
        <w:tc>
          <w:p>
            <w:pPr>
              <w:spacing w:after="60" w:before="60"/>
            </w:pPr>
            <w:r>
              <w:rPr>
                <w:sz w:val="18"/>
                <w:szCs w:val="18"/>
              </w:rPr>
              <w:t xml:space="preserve">12 ans dont 7 sur ERP scolaires/santé</w:t>
            </w:r>
          </w:p>
        </w:tc>
        <w:tc>
          <w:p>
            <w:pPr>
              <w:spacing w:after="60" w:before="60"/>
            </w:pPr>
            <w:r>
              <w:rPr>
                <w:sz w:val="18"/>
                <w:szCs w:val="18"/>
              </w:rPr>
              <w:t xml:space="preserve">QUALIBAT 6121 classe 2, habilitation H0/B0, SST</w:t>
            </w:r>
          </w:p>
        </w:tc>
      </w:tr>
      <w:tr>
        <w:tc>
          <w:p>
            <w:pPr>
              <w:spacing w:after="60" w:before="60"/>
            </w:pPr>
            <w:r>
              <w:rPr>
                <w:sz w:val="18"/>
                <w:szCs w:val="18"/>
              </w:rPr>
              <w:t xml:space="preserve">[Peintre A]</w:t>
            </w:r>
          </w:p>
        </w:tc>
        <w:tc>
          <w:p>
            <w:pPr>
              <w:spacing w:after="60" w:before="60"/>
            </w:pPr>
            <w:r>
              <w:rPr>
                <w:sz w:val="18"/>
                <w:szCs w:val="18"/>
              </w:rPr>
              <w:t xml:space="preserve">Peintre N3</w:t>
            </w:r>
          </w:p>
        </w:tc>
        <w:tc>
          <w:p>
            <w:pPr>
              <w:spacing w:after="60" w:before="60"/>
            </w:pPr>
            <w:r>
              <w:rPr>
                <w:sz w:val="18"/>
                <w:szCs w:val="18"/>
              </w:rPr>
              <w:t xml:space="preserve">8 ans, spécialisé finitions soignées</w:t>
            </w:r>
          </w:p>
        </w:tc>
        <w:tc>
          <w:p>
            <w:pPr>
              <w:spacing w:after="60" w:before="60"/>
            </w:pPr>
            <w:r>
              <w:rPr>
                <w:sz w:val="18"/>
                <w:szCs w:val="18"/>
              </w:rPr>
              <w:t xml:space="preserve">CAP Peinture, formation amiante sous-section 4</w:t>
            </w:r>
          </w:p>
        </w:tc>
      </w:tr>
      <w:tr>
        <w:tc>
          <w:p>
            <w:pPr>
              <w:spacing w:after="60" w:before="60"/>
            </w:pPr>
            <w:r>
              <w:rPr>
                <w:sz w:val="18"/>
                <w:szCs w:val="18"/>
              </w:rPr>
              <w:t xml:space="preserve">[Peintre B]</w:t>
            </w:r>
          </w:p>
        </w:tc>
        <w:tc>
          <w:p>
            <w:pPr>
              <w:spacing w:after="60" w:before="60"/>
            </w:pPr>
            <w:r>
              <w:rPr>
                <w:sz w:val="18"/>
                <w:szCs w:val="18"/>
              </w:rPr>
              <w:t xml:space="preserve">Peintre N3</w:t>
            </w:r>
          </w:p>
        </w:tc>
        <w:tc>
          <w:p>
            <w:pPr>
              <w:spacing w:after="60" w:before="60"/>
            </w:pPr>
            <w:r>
              <w:rPr>
                <w:sz w:val="18"/>
                <w:szCs w:val="18"/>
              </w:rPr>
              <w:t xml:space="preserve">6 ans, polyvalent intérieur/extérieur</w:t>
            </w:r>
          </w:p>
        </w:tc>
        <w:tc>
          <w:p>
            <w:pPr>
              <w:spacing w:after="60" w:before="60"/>
            </w:pPr>
            <w:r>
              <w:rPr>
                <w:sz w:val="18"/>
                <w:szCs w:val="18"/>
              </w:rPr>
              <w:t xml:space="preserve">CAP Peinture, habilitation H0</w:t>
            </w:r>
          </w:p>
        </w:tc>
      </w:tr>
      <w:tr>
        <w:tc>
          <w:p>
            <w:pPr>
              <w:spacing w:after="60" w:before="60"/>
            </w:pPr>
            <w:r>
              <w:rPr>
                <w:sz w:val="18"/>
                <w:szCs w:val="18"/>
              </w:rPr>
              <w:t xml:space="preserve">[Apprenti C]</w:t>
            </w:r>
          </w:p>
        </w:tc>
        <w:tc>
          <w:p>
            <w:pPr>
              <w:spacing w:after="60" w:before="60"/>
            </w:pPr>
            <w:r>
              <w:rPr>
                <w:sz w:val="18"/>
                <w:szCs w:val="18"/>
              </w:rPr>
              <w:t xml:space="preserve">Apprenti CAP 2e année</w:t>
            </w:r>
          </w:p>
        </w:tc>
        <w:tc>
          <w:p>
            <w:pPr>
              <w:spacing w:after="60" w:before="60"/>
            </w:pPr>
            <w:r>
              <w:rPr>
                <w:sz w:val="18"/>
                <w:szCs w:val="18"/>
              </w:rPr>
              <w:t xml:space="preserve">1 an en alternance</w:t>
            </w:r>
          </w:p>
        </w:tc>
        <w:tc>
          <w:p>
            <w:pPr>
              <w:spacing w:after="60" w:before="60"/>
            </w:pPr>
            <w:r>
              <w:rPr>
                <w:sz w:val="18"/>
                <w:szCs w:val="18"/>
              </w:rPr>
              <w:t xml:space="preserve">Formation initiale en cours</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commune]</w:t>
            </w:r>
          </w:p>
        </w:tc>
        <w:tc>
          <w:p>
            <w:pPr>
              <w:spacing w:after="60" w:before="60"/>
            </w:pPr>
            <w:r>
              <w:rPr>
                <w:sz w:val="18"/>
                <w:szCs w:val="18"/>
              </w:rPr>
              <w:t xml:space="preserve">[Réfection peinture école élémentaire — env. 320 m²]</w:t>
            </w:r>
          </w:p>
        </w:tc>
        <w:tc>
          <w:p>
            <w:pPr>
              <w:spacing w:after="60" w:before="60"/>
            </w:pPr>
            <w:r>
              <w:rPr>
                <w:sz w:val="18"/>
                <w:szCs w:val="18"/>
              </w:rPr>
              <w:t xml:space="preserve">[≈ 32 k€ HT]</w:t>
            </w:r>
          </w:p>
        </w:tc>
        <w:tc>
          <w:p>
            <w:pPr>
              <w:spacing w:after="60" w:before="60"/>
            </w:pPr>
            <w:r>
              <w:rPr>
                <w:sz w:val="18"/>
                <w:szCs w:val="18"/>
              </w:rPr>
              <w:t xml:space="preserve">[2024]</w:t>
            </w:r>
          </w:p>
        </w:tc>
        <w:tc>
          <w:p>
            <w:pPr>
              <w:spacing w:after="60" w:before="60"/>
            </w:pPr>
            <w:r>
              <w:rPr>
                <w:sz w:val="18"/>
                <w:szCs w:val="18"/>
              </w:rPr>
              <w:t xml:space="preserve">Réception sans réserve</w:t>
            </w:r>
          </w:p>
        </w:tc>
      </w:tr>
      <w:tr>
        <w:tc>
          <w:p>
            <w:pPr>
              <w:spacing w:after="60" w:before="60"/>
            </w:pPr>
            <w:r>
              <w:rPr>
                <w:sz w:val="18"/>
                <w:szCs w:val="18"/>
              </w:rPr>
              <w:t xml:space="preserve">[À renseigner — vraie EPCI]</w:t>
            </w:r>
          </w:p>
        </w:tc>
        <w:tc>
          <w:p>
            <w:pPr>
              <w:spacing w:after="60" w:before="60"/>
            </w:pPr>
            <w:r>
              <w:rPr>
                <w:sz w:val="18"/>
                <w:szCs w:val="18"/>
              </w:rPr>
              <w:t xml:space="preserve">[Rénovation salle polyvalente — 540 m²]</w:t>
            </w:r>
          </w:p>
        </w:tc>
        <w:tc>
          <w:p>
            <w:pPr>
              <w:spacing w:after="60" w:before="60"/>
            </w:pPr>
            <w:r>
              <w:rPr>
                <w:sz w:val="18"/>
                <w:szCs w:val="18"/>
              </w:rPr>
              <w:t xml:space="preserve">[≈ 51 k€ HT]</w:t>
            </w:r>
          </w:p>
        </w:tc>
        <w:tc>
          <w:p>
            <w:pPr>
              <w:spacing w:after="60" w:before="60"/>
            </w:pPr>
            <w:r>
              <w:rPr>
                <w:sz w:val="18"/>
                <w:szCs w:val="18"/>
              </w:rPr>
              <w:t xml:space="preserve">[2025]</w:t>
            </w:r>
          </w:p>
        </w:tc>
        <w:tc>
          <w:p>
            <w:pPr>
              <w:spacing w:after="60" w:before="60"/>
            </w:pPr>
            <w:r>
              <w:rPr>
                <w:sz w:val="18"/>
                <w:szCs w:val="18"/>
              </w:rPr>
              <w:t xml:space="preserve">Réception sans réserve, marché reconduit</w:t>
            </w:r>
          </w:p>
        </w:tc>
      </w:tr>
      <w:tr>
        <w:tc>
          <w:p>
            <w:pPr>
              <w:spacing w:after="60" w:before="60"/>
            </w:pPr>
            <w:r>
              <w:rPr>
                <w:sz w:val="18"/>
                <w:szCs w:val="18"/>
              </w:rPr>
              <w:t xml:space="preserve">[À renseigner — vrai bailleur social]</w:t>
            </w:r>
          </w:p>
        </w:tc>
        <w:tc>
          <w:p>
            <w:pPr>
              <w:spacing w:after="60" w:before="60"/>
            </w:pPr>
            <w:r>
              <w:rPr>
                <w:sz w:val="18"/>
                <w:szCs w:val="18"/>
              </w:rPr>
              <w:t xml:space="preserve">[Remise en peinture parties communes 18 cages]</w:t>
            </w:r>
          </w:p>
        </w:tc>
        <w:tc>
          <w:p>
            <w:pPr>
              <w:spacing w:after="60" w:before="60"/>
            </w:pPr>
            <w:r>
              <w:rPr>
                <w:sz w:val="18"/>
                <w:szCs w:val="18"/>
              </w:rPr>
              <w:t xml:space="preserve">[≈ 78 k€ HT]</w:t>
            </w:r>
          </w:p>
        </w:tc>
        <w:tc>
          <w:p>
            <w:pPr>
              <w:spacing w:after="60" w:before="60"/>
            </w:pPr>
            <w:r>
              <w:rPr>
                <w:sz w:val="18"/>
                <w:szCs w:val="18"/>
              </w:rPr>
              <w:t xml:space="preserve">[2025]</w:t>
            </w:r>
          </w:p>
        </w:tc>
        <w:tc>
          <w:p>
            <w:pPr>
              <w:spacing w:after="60" w:before="60"/>
            </w:pPr>
            <w:r>
              <w:rPr>
                <w:sz w:val="18"/>
                <w:szCs w:val="18"/>
              </w:rPr>
              <w:t xml:space="preserve">En cours, satisfaction documentée</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Réfection peinture intérieure groupe scolaire</dc:title>
  <dc:creator>Opportunix</dc:creator>
  <dc:description>Squelette d'exemple à des fins d'illustration. Données fictives.</dc:description>
  <cp:lastModifiedBy>Un-named</cp:lastModifiedBy>
  <cp:revision>1</cp:revision>
  <dcterms:created xsi:type="dcterms:W3CDTF">2026-05-12T19:53:17.019Z</dcterms:created>
  <dcterms:modified xsi:type="dcterms:W3CDTF">2026-05-12T19:53:17.020Z</dcterms:modified>
</cp:coreProperties>
</file>

<file path=docProps/custom.xml><?xml version="1.0" encoding="utf-8"?>
<Properties xmlns="http://schemas.openxmlformats.org/officeDocument/2006/custom-properties" xmlns:vt="http://schemas.openxmlformats.org/officeDocument/2006/docPropsVTypes"/>
</file>