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center"/>
      </w:pPr>
      <w:r>
        <w:rPr>
          <w:b/>
          <w:bCs/>
        </w:rPr>
        <w:t xml:space="preserve">MÉMOIRE TECHNIQUE</w:t>
      </w:r>
    </w:p>
    <w:p>
      <w:pPr>
        <w:spacing w:after="400"/>
        <w:jc w:val="center"/>
      </w:pPr>
      <w:r>
        <w:rPr>
          <w:i/>
          <w:iCs/>
        </w:rPr>
        <w:t xml:space="preserve">Rénovation 850 points lumineux LED — éclairage public communal — Commune type — exemple fictif</w:t>
      </w:r>
    </w:p>
    <w:p>
      <w:pPr>
        <w:spacing w:after="200"/>
        <w:jc w:val="center"/>
      </w:pPr>
      <w:r>
        <w:rPr>
          <w:b/>
          <w:bCs/>
          <w:color w:val="d97706"/>
          <w:sz w:val="22"/>
          <w:szCs w:val="22"/>
        </w:rPr>
        <w:t xml:space="preserve">── EXEMPLE FICTIF — STRUCTURE TYPE ──</w:t>
      </w:r>
    </w:p>
    <w:p>
      <w:pPr>
        <w:spacing w:after="600"/>
        <w:jc w:val="center"/>
      </w:pPr>
      <w:r>
        <w:rPr>
          <w:i/>
          <w:iCs/>
          <w:color w:val="8b8b8b"/>
          <w:sz w:val="18"/>
          <w:szCs w:val="18"/>
        </w:rPr>
        <w:t xml:space="preserve">Squelette d'exemple secteur "Énergie / Éclairage public / ENR". L'entité "Société Exemple Éclairage", le SIREN, l'acheteur et les références sont des données inventées à des fins d'illustration. Le dossier réellement généré sur votre AO sera entièrement personnalisé à partir du DCE chargé et de votre mémoire d'entreprise.</w:t>
      </w:r>
    </w:p>
    <w:p>
      <w:pPr>
        <w:pStyle w:val="Heading1"/>
        <w:spacing w:after="200" w:before="400"/>
      </w:pPr>
      <w:r>
        <w:rPr>
          <w:b/>
          <w:bCs/>
          <w:color w:val="d97706"/>
        </w:rPr>
        <w:t xml:space="preserve">Identification du candidat (exemple fictif)</w:t>
      </w:r>
    </w:p>
    <w:p>
      <w:pPr>
        <w:spacing w:after="200"/>
      </w:pPr>
      <w:r>
        <w:t xml:space="preserve">Raison sociale : Société Exemple Éclairage</w:t>
      </w:r>
    </w:p>
    <w:p>
      <w:pPr>
        <w:spacing w:after="200"/>
      </w:pPr>
      <w:r>
        <w:t xml:space="preserve">SIREN : 923 456 789 (SIREN d'exemple)</w:t>
      </w:r>
    </w:p>
    <w:p>
      <w:pPr>
        <w:spacing w:after="200"/>
      </w:pPr>
      <w:r>
        <w:t xml:space="preserve">Code NAF : 43.21A</w:t>
      </w:r>
    </w:p>
    <w:p>
      <w:pPr>
        <w:spacing w:after="200"/>
      </w:pPr>
      <w:r>
        <w:t xml:space="preserve">Effectif : 28 ETP</w:t>
      </w:r>
    </w:p>
    <w:p>
      <w:pPr>
        <w:spacing w:after="200"/>
      </w:pPr>
      <w:r>
        <w:t xml:space="preserve">Capacités principales : Éclairage public LED, Photovoltaïque raccordé, Contrats de performance énergétique (CPE).</w:t>
      </w:r>
    </w:p>
    <w:p>
      <w:pPr>
        <w:spacing w:after="200"/>
      </w:pPr>
      <w:r>
        <w:t xml:space="preserve">Pouvoir adjudicateur : Commune type — exemple fictif</w:t>
      </w:r>
    </w:p>
    <w:p>
      <w:pPr>
        <w:spacing w:after="200"/>
      </w:pPr>
      <w:r>
        <w:t xml:space="preserve">Procédure : Procédure formalisée — appel d'offres ouvert</w:t>
      </w:r>
    </w:p>
    <w:p>
      <w:pPr>
        <w:spacing w:after="200"/>
      </w:pPr>
      <w:r>
        <w:t xml:space="preserve">Budget estimé : 620 000 € HT</w:t>
      </w:r>
    </w:p>
    <w:p>
      <w:pPr>
        <w:spacing w:after="200"/>
      </w:pPr>
      <w:r>
        <w:t xml:space="preserve">Date limite de remise : 20/11/2026</w:t>
      </w:r>
    </w:p>
    <w:p>
      <w:pPr>
        <w:pStyle w:val="Heading1"/>
        <w:spacing w:after="200" w:before="400"/>
      </w:pPr>
      <w:r>
        <w:rPr>
          <w:b/>
          <w:bCs/>
          <w:color w:val="d97706"/>
        </w:rPr>
        <w:t xml:space="preserve">1. Présentation du candidat</w:t>
      </w:r>
    </w:p>
    <w:p>
      <w:pPr>
        <w:spacing w:after="200"/>
      </w:pPr>
      <w:r>
        <w:t xml:space="preserve">Société Exemple Éclairage, SAS au capital de 200 000 €, est une entreprise d'installation électrique spécialisée éclairage public et énergies renouvelables. L'effectif de 28 salariés comprend 1 ingénieur électricien (12 ans d'expérience CPE), 4 chefs de chantier, 12 monteurs électriciens, 2 techniciens photométriques, 1 chargé de mission CEE.</w:t>
      </w:r>
    </w:p>
    <w:p>
      <w:pPr>
        <w:spacing w:after="200"/>
      </w:pPr>
      <w:r>
        <w:t xml:space="preserve">Qualifications en cours de validité : Qualifelec EP1 (éclairage extérieur — installations courantes) et EP2 (éclairage extérieur — installations complexes incluant la télégestion), QualiPV 36 (installations photovoltaïques raccordées au réseau jusqu'à 36 kVA), QualiPV 500 (au-delà). L'entreprise est habilitée à porter des Contrats de Performance Énergétique au sens du décret n° 2011-433 du 20 avril 2011.</w:t>
      </w:r>
    </w:p>
    <w:p>
      <w:pPr>
        <w:pStyle w:val="Heading1"/>
        <w:spacing w:after="200" w:before="400"/>
      </w:pPr>
      <w:r>
        <w:rPr>
          <w:b/>
          <w:bCs/>
          <w:color w:val="d97706"/>
        </w:rPr>
        <w:t xml:space="preserve">2. Compréhension du besoin</w:t>
      </w:r>
    </w:p>
    <w:p>
      <w:pPr>
        <w:spacing w:after="200"/>
      </w:pPr>
      <w:r>
        <w:t xml:space="preserve">Le marché porte sur la rénovation de 850 points lumineux du parc communal (lanternes ballons fluorescents et SHP des années 1995-2010) vers des luminaires LED pilotables, avec installation d'un système de télégestion centralisé et engagement de performance énergétique sur 8 ans. Le pouvoir adjudicateur cible une réduction de la consommation électrique d'au moins 65 % et une diminution de la pollution lumineuse conforme à l'arrêté du 27 décembre 2018.</w:t>
      </w:r>
    </w:p>
    <w:p>
      <w:pPr>
        <w:spacing w:after="200"/>
      </w:pPr>
      <w:r>
        <w:t xml:space="preserve">Les enjeux identifiés :</w:t>
      </w:r>
    </w:p>
    <w:p>
      <w:pPr>
        <w:spacing w:after="200"/>
      </w:pPr>
      <w:r>
        <w:t xml:space="preserve">• respect strict de l'arrêté du 27 décembre 2018 relatif à la prévention, la réduction et la limitation des nuisances lumineuses (température de couleur ≤ 3000 K, ULOR ≤ 1 %, extinction nocturne possible) ;</w:t>
      </w:r>
    </w:p>
    <w:p>
      <w:pPr>
        <w:spacing w:after="200"/>
      </w:pPr>
      <w:r>
        <w:t xml:space="preserve">• conformité photométrique à la norme NF EN 13201 (parties 2, 3, 4 et 5) selon classes M et P attribuées par voie ;</w:t>
      </w:r>
    </w:p>
    <w:p>
      <w:pPr>
        <w:spacing w:after="200"/>
      </w:pPr>
      <w:r>
        <w:t xml:space="preserve">• valorisation maximale du gisement CEE bonifié pour collectivité.</w:t>
      </w:r>
    </w:p>
    <w:p>
      <w:pPr>
        <w:pStyle w:val="Heading1"/>
        <w:spacing w:after="200" w:before="400"/>
      </w:pPr>
      <w:r>
        <w:rPr>
          <w:b/>
          <w:bCs/>
          <w:color w:val="d97706"/>
        </w:rPr>
        <w:t xml:space="preserve">3. Méthodologie d'intervention</w:t>
      </w:r>
    </w:p>
    <w:p>
      <w:pPr>
        <w:spacing w:after="200"/>
      </w:pPr>
      <w:r>
        <w:t xml:space="preserve">Phase 1 — Audit photométrique et inventaire (semaines 1-6) : géoréférencement des 850 points, mesure des éclairements existants, classification M/P selon NF EN 13201-2, identification des supports à conserver/remplacer, étude de structure des candélabres &gt; 25 ans, calcul théorique de la consommation cible.</w:t>
      </w:r>
    </w:p>
    <w:p>
      <w:pPr>
        <w:spacing w:after="200"/>
      </w:pPr>
      <w:r>
        <w:t xml:space="preserve">Phase 2 — Dépose et pose (semaines 7-26) : intervention par secteur de 80-100 points, nacelle 16 m, consignation BT par notre chargé de consignation B2V/BC, dépose des sources existantes avec traitement DEEE filière éco-organisme (Ecosystem), pose des luminaires LED neufs avec driver dimmable DALI-2, recâblage borne par borne avec test diélectrique 500 V.</w:t>
      </w:r>
    </w:p>
    <w:p>
      <w:pPr>
        <w:spacing w:after="200"/>
      </w:pPr>
      <w:r>
        <w:t xml:space="preserve">Phase 3 — Télégestion et mise en service (semaines 24-30) : installation d'un système de télégestion par contrôleur point-à-point (radio LoRaWAN privée sur fréquence 868 MHz), centralisation cartographique web SaaS, paramétrage de scénarios horaires (100 % au crépuscule, abaissement 50 % de 23 h à 5 h, extinction totale en option sur secteurs validés par délibération municipale).</w:t>
      </w:r>
    </w:p>
    <w:p>
      <w:pPr>
        <w:spacing w:after="200"/>
      </w:pPr>
      <w:r>
        <w:t xml:space="preserve">Phase 4 — CPE et garantie de performance (8 ans) : engagement contractuel sur une consommation cible mesurée, avec mécanisme de bonus/malus tel que prévu par le décret n° 2011-433. Mesure et vérification selon le protocole IPMVP (option C — mesure périmètre entier). Rapport annuel public.</w:t>
      </w:r>
    </w:p>
    <w:p>
      <w:pPr>
        <w:pStyle w:val="Heading1"/>
        <w:spacing w:after="200" w:before="400"/>
      </w:pPr>
      <w:r>
        <w:rPr>
          <w:b/>
          <w:bCs/>
          <w:color w:val="d97706"/>
        </w:rPr>
        <w:t xml:space="preserve">4. Moyens humains et matériels</w:t>
      </w:r>
    </w:p>
    <w:p>
      <w:pPr>
        <w:spacing w:after="200"/>
      </w:pPr>
      <w:r>
        <w:t xml:space="preserve">Équipe dédiée : 1 chef de projet ingénieur (12 ans), 1 chef de chantier Qualifelec EP2, 4 monteurs électriciens N3 P2 habilités B2V/BR/BC, 1 technicien photométrique (logiciel DIALux evo, mesures luxmètre étalonné COFRAC).</w:t>
      </w:r>
    </w:p>
    <w:p>
      <w:pPr>
        <w:spacing w:after="200"/>
      </w:pPr>
      <w:r>
        <w:t xml:space="preserve">Matériel mobilisé : 2 nacelles articulées 18 m, 1 nacelle araignée 23 m pour zones piétonnes, contrôleur d'isolement, luxmètre étalonné COFRAC 2025, véhicules-ateliers équipés outillage isolé 1000 V, EPI conformes art. R4544-9 du Code du travail.</w:t>
      </w:r>
    </w:p>
    <w:p>
      <w:pPr>
        <w:pStyle w:val="Heading1"/>
        <w:spacing w:after="200" w:before="400"/>
      </w:pPr>
      <w:r>
        <w:rPr>
          <w:b/>
          <w:bCs/>
          <w:color w:val="d97706"/>
        </w:rPr>
        <w:t xml:space="preserve">5. Performance énergétique, CEE et garanties</w:t>
      </w:r>
    </w:p>
    <w:p>
      <w:pPr>
        <w:spacing w:after="200"/>
      </w:pPr>
      <w:r>
        <w:t xml:space="preserve">Le projet est éligible aux Certificats d'Économies d'Énergie via la fiche standardisée RES-EC-104 (rénovation d'un parc d'éclairage extérieur) avec bonification collectivité. La valorisation estimée s'élève à environ 14 000 MWh cumac, soit un retour direct au pouvoir adjudicateur via délégation de prime au délégataire CEE retenu par appel d'offres séparé.</w:t>
      </w:r>
    </w:p>
    <w:p>
      <w:pPr>
        <w:spacing w:after="200"/>
      </w:pPr>
      <w:r>
        <w:t xml:space="preserve">Garanties contractuelles : garantie produit 10 ans sur l'ensemble des luminaires LED (driver inclus) avec maintien de flux ≥ 80 % L80B10 à 100 000 h selon LM-80 / TM-21, garantie 5 ans sur le système de télégestion, garantie biennale de bon fonctionnement (art. 1792-3 Code civil) sur les éléments d'équipement dissociables.</w:t>
      </w:r>
    </w:p>
    <w:p>
      <w:pPr>
        <w:spacing w:after="200"/>
      </w:pPr>
      <w:r>
        <w:t xml:space="preserve">Engagement CPE : consommation cible 285 MWh/an (vs 845 MWh/an de référence audit), soit -66 %. Mécanisme bonus/malus : ±15 % du montant annuel de maintenance selon écart constaté en mesure annuelle IPMVP.</w:t>
      </w:r>
    </w:p>
    <w:p>
      <w:pPr>
        <w:pStyle w:val="Heading1"/>
        <w:spacing w:after="200" w:before="400"/>
      </w:pPr>
      <w:r>
        <w:rPr>
          <w:b/>
          <w:bCs/>
          <w:color w:val="d97706"/>
        </w:rPr>
        <w:t xml:space="preserve">6. Engagements de service</w:t>
      </w:r>
    </w:p>
    <w:p>
      <w:pPr>
        <w:spacing w:after="200"/>
      </w:pPr>
      <w:r>
        <w:t xml:space="preserve">• Astreinte 24/7 : remplacement d'un point lumineux en panne sous 5 jours ouvrés, sous 24 h pour un défaut de sécurité (candélabre couché, armoire ouverte).</w:t>
      </w:r>
    </w:p>
    <w:p>
      <w:pPr>
        <w:spacing w:after="200"/>
      </w:pPr>
      <w:r>
        <w:t xml:space="preserve">• Tableau de bord public : consommation mensuelle visualisée par secteur, accessible aux élus et au DGS.</w:t>
      </w:r>
    </w:p>
    <w:p>
      <w:pPr>
        <w:spacing w:after="200"/>
      </w:pPr>
      <w:r>
        <w:t xml:space="preserve">• Assurances : RC professionnelle (5 M€ par sinistre), assurance dommages-ouvrage et décennale (art. L241-1 Code des assurances).</w:t>
      </w:r>
    </w:p>
    <w:p>
      <w:pPr>
        <w:spacing w:after="200"/>
      </w:pPr>
      <w:r>
        <w:t xml:space="preserve">• Pénalités acceptées : 1/1000e du marché par jour de retard (capées 5 %), pénalités spécifiques CPE si performance &lt; 90 % de la cible.</w:t>
      </w:r>
    </w:p>
    <w:p>
      <w:pPr>
        <w:pStyle w:val="Heading1"/>
        <w:spacing w:after="200" w:before="400"/>
      </w:pPr>
      <w:r>
        <w:rPr>
          <w:b/>
          <w:bCs/>
          <w:color w:val="d97706"/>
        </w:rPr>
        <w:t xml:space="preserve">7. Références (exemples structurels)</w:t>
      </w:r>
    </w:p>
    <w:p>
      <w:pPr>
        <w:spacing w:after="200"/>
      </w:pPr>
      <w:r>
        <w:t xml:space="preserve">Les références ci-dessous sont des exemples fictifs structurels — votre dossier réel intégrera vos vraies références (vérifiables au sens art. R2152-7 CCP) issues de votre mémoire d'entreprise indexée :</w:t>
      </w:r>
    </w:p>
    <w:p>
      <w:pPr>
        <w:spacing w:after="200"/>
      </w:pPr>
      <w:r>
        <w:t xml:space="preserve">• [Pouvoir adjudicateur réel] — [Rénovation X points lumineux LED + télégestion] — [Montant HT] — [Date] — CPE actif, économie réalisée [%].</w:t>
      </w:r>
    </w:p>
    <w:p>
      <w:pPr>
        <w:spacing w:after="200"/>
      </w:pPr>
      <w:r>
        <w:t xml:space="preserve">• [Pouvoir adjudicateur réel] — [Installation photovoltaïque XX kWc bâtiment public] — [Montant HT] — [Date] — Attestation de bonne exécution.</w:t>
      </w:r>
    </w:p>
    <w:p>
      <w:pPr>
        <w:pStyle w:val="Heading1"/>
        <w:spacing w:after="200" w:before="600"/>
        <w:jc w:val="center"/>
      </w:pPr>
      <w:r>
        <w:rPr>
          <w:b/>
          <w:bCs/>
          <w:color w:val="d97706"/>
        </w:rPr>
        <w:t xml:space="preserve">ANNEXES</w:t>
      </w:r>
    </w:p>
    <w:p>
      <w:pPr>
        <w:spacing w:after="400"/>
        <w:jc w:val="center"/>
      </w:pPr>
      <w:r>
        <w:rPr>
          <w:i/>
          <w:iCs/>
          <w:color w:val="8b8b8b"/>
          <w:sz w:val="18"/>
          <w:szCs w:val="18"/>
        </w:rPr>
        <w:t xml:space="preserve">Pièces jointes structurées — exemple fictif sur la base d'un AO type</w:t>
      </w:r>
    </w:p>
    <w:p>
      <w:pPr>
        <w:pStyle w:val="Heading1"/>
        <w:spacing w:after="200" w:before="400"/>
      </w:pPr>
      <w:r>
        <w:rPr>
          <w:b/>
          <w:bCs/>
          <w:color w:val="d97706"/>
        </w:rPr>
        <w:t xml:space="preserve">Annexe C — Produits et fiches techniques</w:t>
      </w:r>
    </w:p>
    <w:tbl>
      <w:tblPr>
        <w:tblW w:type="pct" w:w="100%"/>
        <w:tblBorders>
          <w:top w:val="single" w:color="d97706" w:sz="4"/>
          <w:left w:val="single" w:color="e5e5e5" w:sz="2"/>
          <w:bottom w:val="single" w:color="d97706" w:sz="4"/>
          <w:right w:val="single" w:color="e5e5e5" w:sz="2"/>
          <w:insideH w:val="single" w:color="e5e5e5" w:sz="2"/>
          <w:insideV w:val="single" w:color="e5e5e5" w:sz="2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shd w:fill="FFF7E6" w:color="auto"/>
          </w:tcPr>
          <w:p>
            <w:pPr>
              <w:spacing w:after="80" w:before="80"/>
            </w:pPr>
            <w:r>
              <w:rPr>
                <w:b/>
                <w:bCs/>
                <w:color w:val="92400e"/>
                <w:sz w:val="20"/>
                <w:szCs w:val="20"/>
              </w:rPr>
              <w:t xml:space="preserve">Produit / Fournisseur</w:t>
            </w:r>
          </w:p>
        </w:tc>
        <w:tc>
          <w:tcPr>
            <w:shd w:fill="FFF7E6" w:color="auto"/>
          </w:tcPr>
          <w:p>
            <w:pPr>
              <w:spacing w:after="80" w:before="80"/>
            </w:pPr>
            <w:r>
              <w:rPr>
                <w:b/>
                <w:bCs/>
                <w:color w:val="92400e"/>
                <w:sz w:val="20"/>
                <w:szCs w:val="20"/>
              </w:rPr>
              <w:t xml:space="preserve">Certifications</w:t>
            </w:r>
          </w:p>
        </w:tc>
        <w:tc>
          <w:tcPr>
            <w:shd w:fill="FFF7E6" w:color="auto"/>
          </w:tcPr>
          <w:p>
            <w:pPr>
              <w:spacing w:after="80" w:before="80"/>
            </w:pPr>
            <w:r>
              <w:rPr>
                <w:b/>
                <w:bCs/>
                <w:color w:val="92400e"/>
                <w:sz w:val="20"/>
                <w:szCs w:val="20"/>
              </w:rPr>
              <w:t xml:space="preserve">Classement feu</w:t>
            </w:r>
          </w:p>
        </w:tc>
        <w:tc>
          <w:tcPr>
            <w:shd w:fill="FFF7E6" w:color="auto"/>
          </w:tcPr>
          <w:p>
            <w:pPr>
              <w:spacing w:after="80" w:before="80"/>
            </w:pPr>
            <w:r>
              <w:rPr>
                <w:b/>
                <w:bCs/>
                <w:color w:val="92400e"/>
                <w:sz w:val="20"/>
                <w:szCs w:val="20"/>
              </w:rPr>
              <w:t xml:space="preserve">COV</w:t>
            </w:r>
          </w:p>
        </w:tc>
      </w:tr>
      <w:tr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Luminaire LED routier 48 W (classes M3-M4) — [Fabricant européen — exemple]</w:t>
            </w:r>
          </w:p>
        </w:tc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ENEC + arrêté 27/12/2018 (T° 2700 K, ULOR 0 %)</w:t>
            </w:r>
          </w:p>
        </w:tc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—</w:t>
            </w:r>
          </w:p>
        </w:tc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—</w:t>
            </w:r>
          </w:p>
        </w:tc>
      </w:tr>
      <w:tr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Luminaire LED résidentiel 24 W (classes P3-P4) — [Fabricant européen — exemple]</w:t>
            </w:r>
          </w:p>
        </w:tc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ENEC, IK10, IP66, IRC ≥ 70, garantie 10 ans L80B10</w:t>
            </w:r>
          </w:p>
        </w:tc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—</w:t>
            </w:r>
          </w:p>
        </w:tc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—</w:t>
            </w:r>
          </w:p>
        </w:tc>
      </w:tr>
      <w:tr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Lanterne style patrimoine 32 W (cœur de bourg) — [Fabricant européen — exemple]</w:t>
            </w:r>
          </w:p>
        </w:tc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ENEC, T° 2200 K ambre, ULOR 0 %, IK09, IP66, dimmable DALI-2</w:t>
            </w:r>
          </w:p>
        </w:tc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—</w:t>
            </w:r>
          </w:p>
        </w:tc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—</w:t>
            </w:r>
          </w:p>
        </w:tc>
      </w:tr>
      <w:tr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Contrôleur télégestion point-à-point LoRaWAN — [Fabricant européen — exemple]</w:t>
            </w:r>
          </w:p>
        </w:tc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CE RED, fréquence 868 MHz ISM, compatible NEMA socket Zhaga D4i</w:t>
            </w:r>
          </w:p>
        </w:tc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—</w:t>
            </w:r>
          </w:p>
        </w:tc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—</w:t>
            </w:r>
          </w:p>
        </w:tc>
      </w:tr>
    </w:tbl>
    <w:p>
      <w:pPr>
        <w:pStyle w:val="Heading1"/>
        <w:spacing w:after="200" w:before="400"/>
      </w:pPr>
      <w:r>
        <w:rPr>
          <w:b/>
          <w:bCs/>
          <w:color w:val="d97706"/>
        </w:rPr>
        <w:t xml:space="preserve">Annexe D — CV synthétiques de l'équipe (anonymisés)</w:t>
      </w:r>
    </w:p>
    <w:tbl>
      <w:tblPr>
        <w:tblW w:type="pct" w:w="100%"/>
        <w:tblBorders>
          <w:top w:val="single" w:color="d97706" w:sz="4"/>
          <w:left w:val="single" w:color="e5e5e5" w:sz="2"/>
          <w:bottom w:val="single" w:color="d97706" w:sz="4"/>
          <w:right w:val="single" w:color="e5e5e5" w:sz="2"/>
          <w:insideH w:val="single" w:color="e5e5e5" w:sz="2"/>
          <w:insideV w:val="single" w:color="e5e5e5" w:sz="2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shd w:fill="FFF7E6" w:color="auto"/>
          </w:tcPr>
          <w:p>
            <w:pPr>
              <w:spacing w:after="80" w:before="80"/>
            </w:pPr>
            <w:r>
              <w:rPr>
                <w:b/>
                <w:bCs/>
                <w:color w:val="92400e"/>
                <w:sz w:val="20"/>
                <w:szCs w:val="20"/>
              </w:rPr>
              <w:t xml:space="preserve">Profil</w:t>
            </w:r>
          </w:p>
        </w:tc>
        <w:tc>
          <w:tcPr>
            <w:shd w:fill="FFF7E6" w:color="auto"/>
          </w:tcPr>
          <w:p>
            <w:pPr>
              <w:spacing w:after="80" w:before="80"/>
            </w:pPr>
            <w:r>
              <w:rPr>
                <w:b/>
                <w:bCs/>
                <w:color w:val="92400e"/>
                <w:sz w:val="20"/>
                <w:szCs w:val="20"/>
              </w:rPr>
              <w:t xml:space="preserve">Rôle</w:t>
            </w:r>
          </w:p>
        </w:tc>
        <w:tc>
          <w:tcPr>
            <w:shd w:fill="FFF7E6" w:color="auto"/>
          </w:tcPr>
          <w:p>
            <w:pPr>
              <w:spacing w:after="80" w:before="80"/>
            </w:pPr>
            <w:r>
              <w:rPr>
                <w:b/>
                <w:bCs/>
                <w:color w:val="92400e"/>
                <w:sz w:val="20"/>
                <w:szCs w:val="20"/>
              </w:rPr>
              <w:t xml:space="preserve">Expérience</w:t>
            </w:r>
          </w:p>
        </w:tc>
        <w:tc>
          <w:tcPr>
            <w:shd w:fill="FFF7E6" w:color="auto"/>
          </w:tcPr>
          <w:p>
            <w:pPr>
              <w:spacing w:after="80" w:before="80"/>
            </w:pPr>
            <w:r>
              <w:rPr>
                <w:b/>
                <w:bCs/>
                <w:color w:val="92400e"/>
                <w:sz w:val="20"/>
                <w:szCs w:val="20"/>
              </w:rPr>
              <w:t xml:space="preserve">Qualifications / habilitations</w:t>
            </w:r>
          </w:p>
        </w:tc>
      </w:tr>
      <w:tr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[Ingénieur — Exemple]</w:t>
            </w:r>
          </w:p>
        </w:tc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Chef de projet CPE</w:t>
            </w:r>
          </w:p>
        </w:tc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12 ans en éclairage public et CPE</w:t>
            </w:r>
          </w:p>
        </w:tc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Ingénieur, certification IPMVP CMVP, habilitation B2V BR</w:t>
            </w:r>
          </w:p>
        </w:tc>
      </w:tr>
      <w:tr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[Chef de chantier — Exemple]</w:t>
            </w:r>
          </w:p>
        </w:tc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Chef de chantier éclairage public</w:t>
            </w:r>
          </w:p>
        </w:tc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15 ans</w:t>
            </w:r>
          </w:p>
        </w:tc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Qualifelec EP2 référent, B2V BR BC, AIPR encadrant, CACES nacelle PEMP 3B</w:t>
            </w:r>
          </w:p>
        </w:tc>
      </w:tr>
      <w:tr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[Monteur 1 — Exemple]</w:t>
            </w:r>
          </w:p>
        </w:tc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Monteur électricien N3 P2</w:t>
            </w:r>
          </w:p>
        </w:tc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8 ans</w:t>
            </w:r>
          </w:p>
        </w:tc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BP Électrotechnique, B2V BR, AIPR opérateur, PEMP 3B</w:t>
            </w:r>
          </w:p>
        </w:tc>
      </w:tr>
      <w:tr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[Technicien photométrique — Exemple]</w:t>
            </w:r>
          </w:p>
        </w:tc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Technicien études photométriques</w:t>
            </w:r>
          </w:p>
        </w:tc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6 ans</w:t>
            </w:r>
          </w:p>
        </w:tc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BTS Électrotechnique, DIALux evo certifié, mesure luxmètre étalonné COFRAC</w:t>
            </w:r>
          </w:p>
        </w:tc>
      </w:tr>
    </w:tbl>
    <w:p>
      <w:pPr>
        <w:spacing w:after="200" w:before="120"/>
      </w:pPr>
      <w:r>
        <w:rPr>
          <w:i/>
          <w:iCs/>
          <w:color w:val="8b8b8b"/>
          <w:sz w:val="18"/>
          <w:szCs w:val="18"/>
        </w:rPr>
        <w:t xml:space="preserve">Les CV nominatifs complets seront joints à la candidature. Les noms ont été anonymisés à des fins d'exemple.</w:t>
      </w:r>
    </w:p>
    <w:p>
      <w:pPr>
        <w:pStyle w:val="Heading1"/>
        <w:spacing w:after="200" w:before="400"/>
      </w:pPr>
      <w:r>
        <w:rPr>
          <w:b/>
          <w:bCs/>
          <w:color w:val="d97706"/>
        </w:rPr>
        <w:t xml:space="preserve">Annexe E — Références récentes (placeholders à personnaliser)</w:t>
      </w:r>
    </w:p>
    <w:p>
      <w:pPr>
        <w:spacing w:after="200"/>
      </w:pPr>
      <w:r>
        <w:rPr>
          <w:i/>
          <w:iCs/>
          <w:color w:val="8b8b8b"/>
          <w:sz w:val="18"/>
          <w:szCs w:val="18"/>
        </w:rPr>
        <w:t xml:space="preserve">Tableau-type — votre vrai dossier intègrera vos références issues de la mémoire d'entreprise indexée dans Opportunix, vérifiables au sens de l'art. R2152-7 CCP.</w:t>
      </w:r>
    </w:p>
    <w:tbl>
      <w:tblPr>
        <w:tblW w:type="pct" w:w="100%"/>
        <w:tblBorders>
          <w:top w:val="single" w:color="d97706" w:sz="4"/>
          <w:left w:val="single" w:color="e5e5e5" w:sz="2"/>
          <w:bottom w:val="single" w:color="d97706" w:sz="4"/>
          <w:right w:val="single" w:color="e5e5e5" w:sz="2"/>
          <w:insideH w:val="single" w:color="e5e5e5" w:sz="2"/>
          <w:insideV w:val="single" w:color="e5e5e5" w:sz="2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shd w:fill="FFF7E6" w:color="auto"/>
          </w:tcPr>
          <w:p>
            <w:pPr>
              <w:spacing w:after="80" w:before="80"/>
            </w:pPr>
            <w:r>
              <w:rPr>
                <w:b/>
                <w:bCs/>
                <w:color w:val="92400e"/>
                <w:sz w:val="20"/>
                <w:szCs w:val="20"/>
              </w:rPr>
              <w:t xml:space="preserve">Pouvoir adjudicateur</w:t>
            </w:r>
          </w:p>
        </w:tc>
        <w:tc>
          <w:tcPr>
            <w:shd w:fill="FFF7E6" w:color="auto"/>
          </w:tcPr>
          <w:p>
            <w:pPr>
              <w:spacing w:after="80" w:before="80"/>
            </w:pPr>
            <w:r>
              <w:rPr>
                <w:b/>
                <w:bCs/>
                <w:color w:val="92400e"/>
                <w:sz w:val="20"/>
                <w:szCs w:val="20"/>
              </w:rPr>
              <w:t xml:space="preserve">Objet du marché</w:t>
            </w:r>
          </w:p>
        </w:tc>
        <w:tc>
          <w:tcPr>
            <w:shd w:fill="FFF7E6" w:color="auto"/>
          </w:tcPr>
          <w:p>
            <w:pPr>
              <w:spacing w:after="80" w:before="80"/>
            </w:pPr>
            <w:r>
              <w:rPr>
                <w:b/>
                <w:bCs/>
                <w:color w:val="92400e"/>
                <w:sz w:val="20"/>
                <w:szCs w:val="20"/>
              </w:rPr>
              <w:t xml:space="preserve">Montant HT</w:t>
            </w:r>
          </w:p>
        </w:tc>
        <w:tc>
          <w:tcPr>
            <w:shd w:fill="FFF7E6" w:color="auto"/>
          </w:tcPr>
          <w:p>
            <w:pPr>
              <w:spacing w:after="80" w:before="80"/>
            </w:pPr>
            <w:r>
              <w:rPr>
                <w:b/>
                <w:bCs/>
                <w:color w:val="92400e"/>
                <w:sz w:val="20"/>
                <w:szCs w:val="20"/>
              </w:rPr>
              <w:t xml:space="preserve">Année</w:t>
            </w:r>
          </w:p>
        </w:tc>
        <w:tc>
          <w:tcPr>
            <w:shd w:fill="FFF7E6" w:color="auto"/>
          </w:tcPr>
          <w:p>
            <w:pPr>
              <w:spacing w:after="80" w:before="80"/>
            </w:pPr>
            <w:r>
              <w:rPr>
                <w:b/>
                <w:bCs/>
                <w:color w:val="92400e"/>
                <w:sz w:val="20"/>
                <w:szCs w:val="20"/>
              </w:rPr>
              <w:t xml:space="preserve">Statut</w:t>
            </w:r>
          </w:p>
        </w:tc>
      </w:tr>
      <w:tr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[Commune réelle 1]</w:t>
            </w:r>
          </w:p>
        </w:tc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Rénovation LED 620 points + télégestion</w:t>
            </w:r>
          </w:p>
        </w:tc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[Montant HT]</w:t>
            </w:r>
          </w:p>
        </w:tc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[Date]</w:t>
            </w:r>
          </w:p>
        </w:tc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CPE en cours</w:t>
            </w:r>
          </w:p>
        </w:tc>
      </w:tr>
      <w:tr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[EPCI réel]</w:t>
            </w:r>
          </w:p>
        </w:tc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Audit + rénovation éclairage zones d'activité</w:t>
            </w:r>
          </w:p>
        </w:tc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[Montant HT]</w:t>
            </w:r>
          </w:p>
        </w:tc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[Date]</w:t>
            </w:r>
          </w:p>
        </w:tc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Terminé</w:t>
            </w:r>
          </w:p>
        </w:tc>
      </w:tr>
      <w:tr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[Bâtiment public réel]</w:t>
            </w:r>
          </w:p>
        </w:tc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Centrale photovoltaïque toiture 95 kWc</w:t>
            </w:r>
          </w:p>
        </w:tc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[Montant HT]</w:t>
            </w:r>
          </w:p>
        </w:tc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[Date]</w:t>
            </w:r>
          </w:p>
        </w:tc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En production</w:t>
            </w:r>
          </w:p>
        </w:tc>
      </w:tr>
    </w:tbl>
    <w:p>
      <w:pPr>
        <w:spacing w:before="800"/>
        <w:jc w:val="center"/>
      </w:pPr>
      <w:r>
        <w:rPr>
          <w:i/>
          <w:iCs/>
          <w:color w:val="8b8b8b"/>
          <w:sz w:val="18"/>
          <w:szCs w:val="18"/>
        </w:rPr>
        <w:t xml:space="preserve">── Fin de l'exemple ──</w:t>
      </w:r>
    </w:p>
    <w:p>
      <w:pPr>
        <w:spacing w:before="200"/>
        <w:jc w:val="center"/>
      </w:pPr>
      <w:r>
        <w:rPr>
          <w:i/>
          <w:iCs/>
          <w:color w:val="8b8b8b"/>
          <w:sz w:val="16"/>
          <w:szCs w:val="16"/>
        </w:rPr>
        <w:t xml:space="preserve">Votre dossier réel sera entièrement personnalisé : DCE analysé, vraies références, vrais prix, mémoire technique sourcée.</w:t>
      </w:r>
    </w:p>
    <w:p>
      <w:pPr>
        <w:spacing w:before="200"/>
        <w:jc w:val="center"/>
      </w:pPr>
      <w:r>
        <w:rPr>
          <w:b/>
          <w:bCs/>
          <w:color w:val="d97706"/>
          <w:sz w:val="16"/>
          <w:szCs w:val="16"/>
        </w:rPr>
        <w:t xml:space="preserve">Généré par Opportunix · pipeline 10 agents IA · 30 min · à partir de 19 €</w:t>
      </w:r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i/>
        <w:iCs/>
        <w:color w:val="8b8b8b"/>
        <w:sz w:val="16"/>
        <w:szCs w:val="16"/>
      </w:rPr>
      <w:t xml:space="preserve">Squelette d'exemple — non destiné à être déposé en l'état · </w:t>
    </w:r>
    <w:r>
      <w:rPr>
        <w:color w:val="8b8b8b"/>
        <w:sz w:val="16"/>
        <w:szCs w:val="16"/>
      </w:rPr>
      <w:t xml:space="preserve">Page </w:t>
    </w:r>
    <w:r>
      <w:rPr>
        <w:color w:val="8b8b8b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8b8b8b"/>
        <w:sz w:val="16"/>
        <w:szCs w:val="16"/>
      </w:rPr>
      <w:t xml:space="preserve"> / </w:t>
    </w:r>
    <w:r>
      <w:rPr>
        <w:color w:val="8b8b8b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center"/>
    </w:pPr>
    <w:r>
      <w:rPr>
        <w:b/>
        <w:bCs/>
        <w:color w:val="d97706"/>
        <w:sz w:val="16"/>
        <w:szCs w:val="16"/>
      </w:rPr>
      <w:t xml:space="preserve">EXEMPLE — DONNÉES FICTIVES — GÉNÉRÉ PAR OPPORTUNIX (IA)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Mémoire technique (exemple fictif) — Rénovation 850 points lumineux LED — éclairage public communal</dc:title>
  <dc:creator>Opportunix</dc:creator>
  <dc:description>Squelette d'exemple à des fins d'illustration. Données fictives.</dc:description>
  <cp:lastModifiedBy>Un-named</cp:lastModifiedBy>
  <cp:revision>1</cp:revision>
  <dcterms:created xsi:type="dcterms:W3CDTF">2026-05-12T19:53:18.604Z</dcterms:created>
  <dcterms:modified xsi:type="dcterms:W3CDTF">2026-05-12T19:53:18.604Z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