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Entretien des espaces verts communaux — accord-cadre 3 ans — Commune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"Espaces Verts / Paysage". L'entité "Société Exemple Paysage",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Paysage</w:t>
      </w:r>
    </w:p>
    <w:p>
      <w:pPr>
        <w:spacing w:after="200"/>
      </w:pPr>
      <w:r>
        <w:t xml:space="preserve">SIREN : 891 234 567 (SIREN d'exemple)</w:t>
      </w:r>
    </w:p>
    <w:p>
      <w:pPr>
        <w:spacing w:after="200"/>
      </w:pPr>
      <w:r>
        <w:t xml:space="preserve">Code NAF : 81.30Z</w:t>
      </w:r>
    </w:p>
    <w:p>
      <w:pPr>
        <w:spacing w:after="200"/>
      </w:pPr>
      <w:r>
        <w:t xml:space="preserve">Effectif : 14 ETP</w:t>
      </w:r>
    </w:p>
    <w:p>
      <w:pPr>
        <w:spacing w:after="200"/>
      </w:pPr>
      <w:r>
        <w:t xml:space="preserve">Capacités principales : Entretien d'espaces verts, Élagage et soins aux arbres, Gestion différenciée et zéro phyto.</w:t>
      </w:r>
    </w:p>
    <w:p>
      <w:pPr>
        <w:spacing w:after="200"/>
      </w:pPr>
      <w:r>
        <w:t xml:space="preserve">Pouvoir adjudicateur : Commune type — exemple fictif</w:t>
      </w:r>
    </w:p>
    <w:p>
      <w:pPr>
        <w:spacing w:after="200"/>
      </w:pPr>
      <w:r>
        <w:t xml:space="preserve">Procédure : MAPA</w:t>
      </w:r>
    </w:p>
    <w:p>
      <w:pPr>
        <w:spacing w:after="200"/>
      </w:pPr>
      <w:r>
        <w:t xml:space="preserve">Budget estimé : 145 000 € HT</w:t>
      </w:r>
    </w:p>
    <w:p>
      <w:pPr>
        <w:spacing w:after="200"/>
      </w:pPr>
      <w:r>
        <w:t xml:space="preserve">Date limite de remise : 30/10/2026</w:t>
      </w:r>
    </w:p>
    <w:p>
      <w:pPr>
        <w:pStyle w:val="Heading1"/>
        <w:spacing w:after="200" w:before="400"/>
      </w:pPr>
      <w:r>
        <w:rPr>
          <w:b/>
          <w:bCs/>
          <w:color w:val="d97706"/>
        </w:rPr>
        <w:t xml:space="preserve">1. Présentation du candidat</w:t>
      </w:r>
    </w:p>
    <w:p>
      <w:pPr>
        <w:spacing w:after="200"/>
      </w:pPr>
      <w:r>
        <w:t xml:space="preserve">Société Exemple Paysage, SAS au capital de 80 000 €, est une entreprise du paysage relevant de la convention collective nationale des entreprises du paysage (IDCC 7018). Notre effectif de 14 salariés en CDI comprend 2 chefs d'équipe, 1 arboriste-élagueur titulaire du CS Arboriste-Élagueur (au sens de l'arrêté du 22 mai 2008 fixant les conditions de réalisation des travaux dans les arbres), 8 ouvriers paysagistes qualifiés et 3 apprentis CAPa Jardinier-paysagiste.</w:t>
      </w:r>
    </w:p>
    <w:p>
      <w:pPr>
        <w:spacing w:after="200"/>
      </w:pPr>
      <w:r>
        <w:t xml:space="preserve">L'entreprise est qualifiée Qualipaysage E140 (entretien des espaces végétalisés) et P140 (travaux de plantation), et engagée dans la démarche Plante Bleue (production durable et entretien éco-responsable). Le parc matériel est entièrement renouvelé en motorisation hybride/électrique sur les machines portatives depuis 2025.</w:t>
      </w:r>
    </w:p>
    <w:p>
      <w:pPr>
        <w:pStyle w:val="Heading1"/>
        <w:spacing w:after="200" w:before="400"/>
      </w:pPr>
      <w:r>
        <w:rPr>
          <w:b/>
          <w:bCs/>
          <w:color w:val="d97706"/>
        </w:rPr>
        <w:t xml:space="preserve">2. Compréhension du besoin</w:t>
      </w:r>
    </w:p>
    <w:p>
      <w:pPr>
        <w:spacing w:after="200"/>
      </w:pPr>
      <w:r>
        <w:t xml:space="preserve">L'accord-cadre porte sur l'entretien de 22 hectares d'espaces verts répartis sur le territoire communal : 6 ha de parcs urbains, 9 ha d'accompagnement de voirie, 4 ha de cimetière paysager, 3 ha de complexes sportifs. Le marché couvre la tonte, la taille, le désherbage, l'arrosage, la fertilisation organique et le ramassage des feuilles, sur 3 ans reconductibles.</w:t>
      </w:r>
    </w:p>
    <w:p>
      <w:pPr>
        <w:spacing w:after="200"/>
      </w:pPr>
      <w:r>
        <w:t xml:space="preserve">Les enjeux que nous avons identifiés :</w:t>
      </w:r>
    </w:p>
    <w:p>
      <w:pPr>
        <w:spacing w:after="200"/>
      </w:pPr>
      <w:r>
        <w:t xml:space="preserve">• respect strict du zéro phyto en espaces publics au sens de la loi Labbé du 6 février 2014 et de l'arrêté du 15 janvier 2021 (interdiction des produits phytopharmaceutiques sur les lieux fréquentés par le public) ;</w:t>
      </w:r>
    </w:p>
    <w:p>
      <w:pPr>
        <w:spacing w:after="200"/>
      </w:pPr>
      <w:r>
        <w:t xml:space="preserve">• préservation de la biodiversité par une gestion différenciée selon la typologie des sites ;</w:t>
      </w:r>
    </w:p>
    <w:p>
      <w:pPr>
        <w:spacing w:after="200"/>
      </w:pPr>
      <w:r>
        <w:t xml:space="preserve">• continuité de service en haute saison (avril-octobre) avec une cadence de tonte adaptée à chaque classe de site.</w:t>
      </w:r>
    </w:p>
    <w:p>
      <w:pPr>
        <w:pStyle w:val="Heading1"/>
        <w:spacing w:after="200" w:before="400"/>
      </w:pPr>
      <w:r>
        <w:rPr>
          <w:b/>
          <w:bCs/>
          <w:color w:val="d97706"/>
        </w:rPr>
        <w:t xml:space="preserve">3. Méthodologie d'intervention</w:t>
      </w:r>
    </w:p>
    <w:p>
      <w:pPr>
        <w:spacing w:after="200"/>
      </w:pPr>
      <w:r>
        <w:t xml:space="preserve">Nous proposons une gestion différenciée à 4 classes d'entretien : (A) prestige — parcs centre-bourg, tonte hebdomadaire mulching, taille architecturée ; (B) soigné — accompagnement voirie principale, tonte bimensuelle ; (C) rustique — talus et délaissés, fauche tardive 2 passages/an mi-juin et mi-octobre pour préserver les cycles de reproduction de la faune ; (D) naturel — zones refuges biodiversité, fauche exportatrice 1 passage/an avec export du produit de fauche.</w:t>
      </w:r>
    </w:p>
    <w:p>
      <w:pPr>
        <w:spacing w:after="200"/>
      </w:pPr>
      <w:r>
        <w:t xml:space="preserve">Le désherbage est intégralement mécanique et thermique : brosse rotative sur voirie, désherbeur thermique à gaz sur cimetière et pieds d'arbres, paillage organique BRF sur massifs. Aucun produit phytopharmaceutique n'est utilisé, conformément à l'art. L253-7 du Code rural et de la pêche maritime. Les déchets verts sont valorisés en compostage sur la plateforme intercommunale (bordereau de suivi à chaque rotation).</w:t>
      </w:r>
    </w:p>
    <w:p>
      <w:pPr>
        <w:spacing w:after="200"/>
      </w:pPr>
      <w:r>
        <w:t xml:space="preserve">Les travaux d'élagage suivent la norme NF U45-001 (taille des arbres d'ornement) — coupes au plus près du bourrelet cicatriciel sans chicot, respect de l'angle de chute, pas de taille drastique des houppiers. Toute intervention en grimpée fait l'objet d'un plan de prévention écrit et est réalisée par notre arboriste-élagueur, dans le respect de l'arrêté du 22 mai 2008.</w:t>
      </w:r>
    </w:p>
    <w:p>
      <w:pPr>
        <w:pStyle w:val="Heading1"/>
        <w:spacing w:after="200" w:before="400"/>
      </w:pPr>
      <w:r>
        <w:rPr>
          <w:b/>
          <w:bCs/>
          <w:color w:val="d97706"/>
        </w:rPr>
        <w:t xml:space="preserve">4. Moyens humains et matériels</w:t>
      </w:r>
    </w:p>
    <w:p>
      <w:pPr>
        <w:spacing w:after="200"/>
      </w:pPr>
      <w:r>
        <w:t xml:space="preserve">Équipe dédiée au marché : 1 chef d'équipe (BTSA Aménagements paysagers, 11 ans d'expérience), 4 ouvriers paysagistes en rotation (2 ETP permanents + 2 ETP renforts haute saison), 1 arboriste-élagueur mobilisable sur demande (CS Arboriste-Élagueur, AIPR opérateur, habilitation travail en hauteur).</w:t>
      </w:r>
    </w:p>
    <w:p>
      <w:pPr>
        <w:spacing w:after="200"/>
      </w:pPr>
      <w:r>
        <w:t xml:space="preserve">Matériel mobilisé : 2 tondeuses autoportées Kubota mulching, 4 débroussailleuses Stihl, 1 tondeuse robot RTK pour terrains sportifs, 1 broyeur de branches Eliet, 1 nacelle araignée 17 m pour élagage en site contraint, véhicules utilitaires électriques (2 unités). Carburant des engins thermiques en Aspen Alkylat (réduction émissions).</w:t>
      </w:r>
    </w:p>
    <w:p>
      <w:pPr>
        <w:pStyle w:val="Heading1"/>
        <w:spacing w:after="200" w:before="400"/>
      </w:pPr>
      <w:r>
        <w:rPr>
          <w:b/>
          <w:bCs/>
          <w:color w:val="d97706"/>
        </w:rPr>
        <w:t xml:space="preserve">5. Démarche environnementale et biodiversité</w:t>
      </w:r>
    </w:p>
    <w:p>
      <w:pPr>
        <w:spacing w:after="200"/>
      </w:pPr>
      <w:r>
        <w:t xml:space="preserve">Nous engageons le site dans une démarche compatible avec le référentiel EcoJardin (label de gestion écologique des espaces verts porté par Plante &amp; Cité) : zonage gestion différenciée, suivi annuel des indicateurs (consommation eau, déchets verts valorisés, taux de matériel électrique), formation continue des agents à la reconnaissance de la flore spontanée.</w:t>
      </w:r>
    </w:p>
    <w:p>
      <w:pPr>
        <w:spacing w:after="200"/>
      </w:pPr>
      <w:r>
        <w:t xml:space="preserve">Mesures biodiversité concrètes : maintien de zones de fauche tardive sur 3 ha, installation de 12 nichoirs (mésanges, chouettes hulottes) sur les parcs, conservation du bois mort sur pied (chandelles sécurisées) hors zones fréquentées, refuges à hérissons en lisière de massifs, et passage à un calendrier de taille des haies hors période de nidification (15 mars - 31 juillet exclus, recommandation OFB).</w:t>
      </w:r>
    </w:p>
    <w:p>
      <w:pPr>
        <w:pStyle w:val="Heading1"/>
        <w:spacing w:after="200" w:before="400"/>
      </w:pPr>
      <w:r>
        <w:rPr>
          <w:b/>
          <w:bCs/>
          <w:color w:val="d97706"/>
        </w:rPr>
        <w:t xml:space="preserve">6. Engagements de service</w:t>
      </w:r>
    </w:p>
    <w:p>
      <w:pPr>
        <w:spacing w:after="200"/>
      </w:pPr>
      <w:r>
        <w:t xml:space="preserve">• Réactivité : intervention sous 24 h ouvrées sur signalement d'arbre dangereux ou chablis (numéro d'astreinte dédié communiqué au pouvoir adjudicateur).</w:t>
      </w:r>
    </w:p>
    <w:p>
      <w:pPr>
        <w:spacing w:after="200"/>
      </w:pPr>
      <w:r>
        <w:t xml:space="preserve">• Continuité de service : taux de réalisation du planning ≥ 98 % sur l'année (reporting trimestriel via tableau de bord partagé).</w:t>
      </w:r>
    </w:p>
    <w:p>
      <w:pPr>
        <w:spacing w:after="200"/>
      </w:pPr>
      <w:r>
        <w:t xml:space="preserve">• Assurances : RC professionnelle (2 M€ par sinistre dommages corporels) ; assurance dommages aux biens incluant le risque d'écrasement de réseaux enterrés.</w:t>
      </w:r>
    </w:p>
    <w:p>
      <w:pPr>
        <w:spacing w:after="200"/>
      </w:pPr>
      <w:r>
        <w:t xml:space="preserve">• Pénalités acceptées : 1/1000e du marché par jour calendaire de retard sur prestation programmée (capées à 5 % du montant annuel).</w:t>
      </w:r>
    </w:p>
    <w:p>
      <w:pPr>
        <w:pStyle w:val="Heading1"/>
        <w:spacing w:after="200" w:before="400"/>
      </w:pPr>
      <w:r>
        <w:rPr>
          <w:b/>
          <w:bCs/>
          <w:color w:val="d97706"/>
        </w:rPr>
        <w:t xml:space="preserve">7. Références (exemples structurels)</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[Pouvoir adjudicateur réel] — [Objet : entretien espaces verts communaux] — [Montant HT/an] — [Date démarrage] — Attestation de bonne exécution disponible.</w:t>
      </w:r>
    </w:p>
    <w:p>
      <w:pPr>
        <w:spacing w:after="200"/>
      </w:pPr>
      <w:r>
        <w:t xml:space="preserve">• [Pouvoir adjudicateur réel] — [Objet : élagage parc arboré] — [Montant HT] — [Date réception] — Marché reconduit.</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[Chef d'équipe — Exemple]</w:t>
            </w:r>
          </w:p>
        </w:tc>
        <w:tc>
          <w:p>
            <w:pPr>
              <w:spacing w:after="60" w:before="60"/>
            </w:pPr>
            <w:r>
              <w:rPr>
                <w:sz w:val="18"/>
                <w:szCs w:val="18"/>
              </w:rPr>
              <w:t xml:space="preserve">Chef d'équipe paysage</w:t>
            </w:r>
          </w:p>
        </w:tc>
        <w:tc>
          <w:p>
            <w:pPr>
              <w:spacing w:after="60" w:before="60"/>
            </w:pPr>
            <w:r>
              <w:rPr>
                <w:sz w:val="18"/>
                <w:szCs w:val="18"/>
              </w:rPr>
              <w:t xml:space="preserve">11 ans (BTSA Aménagements paysagers)</w:t>
            </w:r>
          </w:p>
        </w:tc>
        <w:tc>
          <w:p>
            <w:pPr>
              <w:spacing w:after="60" w:before="60"/>
            </w:pPr>
            <w:r>
              <w:rPr>
                <w:sz w:val="18"/>
                <w:szCs w:val="18"/>
              </w:rPr>
              <w:t xml:space="preserve">Qualipaysage E140 référent, AIPR encadrant, SST</w:t>
            </w:r>
          </w:p>
        </w:tc>
      </w:tr>
      <w:tr>
        <w:tc>
          <w:p>
            <w:pPr>
              <w:spacing w:after="60" w:before="60"/>
            </w:pPr>
            <w:r>
              <w:rPr>
                <w:sz w:val="18"/>
                <w:szCs w:val="18"/>
              </w:rPr>
              <w:t xml:space="preserve">[Arboriste — Exemple]</w:t>
            </w:r>
          </w:p>
        </w:tc>
        <w:tc>
          <w:p>
            <w:pPr>
              <w:spacing w:after="60" w:before="60"/>
            </w:pPr>
            <w:r>
              <w:rPr>
                <w:sz w:val="18"/>
                <w:szCs w:val="18"/>
              </w:rPr>
              <w:t xml:space="preserve">Arboriste-élagueur</w:t>
            </w:r>
          </w:p>
        </w:tc>
        <w:tc>
          <w:p>
            <w:pPr>
              <w:spacing w:after="60" w:before="60"/>
            </w:pPr>
            <w:r>
              <w:rPr>
                <w:sz w:val="18"/>
                <w:szCs w:val="18"/>
              </w:rPr>
              <w:t xml:space="preserve">9 ans en élagage acrobatique</w:t>
            </w:r>
          </w:p>
        </w:tc>
        <w:tc>
          <w:p>
            <w:pPr>
              <w:spacing w:after="60" w:before="60"/>
            </w:pPr>
            <w:r>
              <w:rPr>
                <w:sz w:val="18"/>
                <w:szCs w:val="18"/>
              </w:rPr>
              <w:t xml:space="preserve">CS Arboriste-Élagueur (arrêté 22/05/2008), travail en hauteur EN 358/813, AIPR opérateur</w:t>
            </w:r>
          </w:p>
        </w:tc>
      </w:tr>
      <w:tr>
        <w:tc>
          <w:p>
            <w:pPr>
              <w:spacing w:after="60" w:before="60"/>
            </w:pPr>
            <w:r>
              <w:rPr>
                <w:sz w:val="18"/>
                <w:szCs w:val="18"/>
              </w:rPr>
              <w:t xml:space="preserve">[Paysagiste 1 — Exemple]</w:t>
            </w:r>
          </w:p>
        </w:tc>
        <w:tc>
          <w:p>
            <w:pPr>
              <w:spacing w:after="60" w:before="60"/>
            </w:pPr>
            <w:r>
              <w:rPr>
                <w:sz w:val="18"/>
                <w:szCs w:val="18"/>
              </w:rPr>
              <w:t xml:space="preserve">Ouvrier paysagiste qualifié</w:t>
            </w:r>
          </w:p>
        </w:tc>
        <w:tc>
          <w:p>
            <w:pPr>
              <w:spacing w:after="60" w:before="60"/>
            </w:pPr>
            <w:r>
              <w:rPr>
                <w:sz w:val="18"/>
                <w:szCs w:val="18"/>
              </w:rPr>
              <w:t xml:space="preserve">7 ans</w:t>
            </w:r>
          </w:p>
        </w:tc>
        <w:tc>
          <w:p>
            <w:pPr>
              <w:spacing w:after="60" w:before="60"/>
            </w:pPr>
            <w:r>
              <w:rPr>
                <w:sz w:val="18"/>
                <w:szCs w:val="18"/>
              </w:rPr>
              <w:t xml:space="preserve">CAPa Jardinier-paysagiste, BP Aménagements paysagers, SST</w:t>
            </w:r>
          </w:p>
        </w:tc>
      </w:tr>
      <w:tr>
        <w:tc>
          <w:p>
            <w:pPr>
              <w:spacing w:after="60" w:before="60"/>
            </w:pPr>
            <w:r>
              <w:rPr>
                <w:sz w:val="18"/>
                <w:szCs w:val="18"/>
              </w:rPr>
              <w:t xml:space="preserve">[Paysagiste 2 — Exemple]</w:t>
            </w:r>
          </w:p>
        </w:tc>
        <w:tc>
          <w:p>
            <w:pPr>
              <w:spacing w:after="60" w:before="60"/>
            </w:pPr>
            <w:r>
              <w:rPr>
                <w:sz w:val="18"/>
                <w:szCs w:val="18"/>
              </w:rPr>
              <w:t xml:space="preserve">Ouvrier paysagiste</w:t>
            </w:r>
          </w:p>
        </w:tc>
        <w:tc>
          <w:p>
            <w:pPr>
              <w:spacing w:after="60" w:before="60"/>
            </w:pPr>
            <w:r>
              <w:rPr>
                <w:sz w:val="18"/>
                <w:szCs w:val="18"/>
              </w:rPr>
              <w:t xml:space="preserve">5 ans</w:t>
            </w:r>
          </w:p>
        </w:tc>
        <w:tc>
          <w:p>
            <w:pPr>
              <w:spacing w:after="60" w:before="60"/>
            </w:pPr>
            <w:r>
              <w:rPr>
                <w:sz w:val="18"/>
                <w:szCs w:val="18"/>
              </w:rPr>
              <w:t xml:space="preserve">CAPa Jardinier-paysagiste, AIPR opérateur</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[Commune réelle 1]</w:t>
            </w:r>
          </w:p>
        </w:tc>
        <w:tc>
          <w:p>
            <w:pPr>
              <w:spacing w:after="60" w:before="60"/>
            </w:pPr>
            <w:r>
              <w:rPr>
                <w:sz w:val="18"/>
                <w:szCs w:val="18"/>
              </w:rPr>
              <w:t xml:space="preserve">Entretien espaces verts (accord-cadre 3 ans)</w:t>
            </w:r>
          </w:p>
        </w:tc>
        <w:tc>
          <w:p>
            <w:pPr>
              <w:spacing w:after="60" w:before="60"/>
            </w:pPr>
            <w:r>
              <w:rPr>
                <w:sz w:val="18"/>
                <w:szCs w:val="18"/>
              </w:rPr>
              <w:t xml:space="preserve">[Montant HT/an]</w:t>
            </w:r>
          </w:p>
        </w:tc>
        <w:tc>
          <w:p>
            <w:pPr>
              <w:spacing w:after="60" w:before="60"/>
            </w:pPr>
            <w:r>
              <w:rPr>
                <w:sz w:val="18"/>
                <w:szCs w:val="18"/>
              </w:rPr>
              <w:t xml:space="preserve">[Date démarrage]</w:t>
            </w:r>
          </w:p>
        </w:tc>
        <w:tc>
          <w:p>
            <w:pPr>
              <w:spacing w:after="60" w:before="60"/>
            </w:pPr>
            <w:r>
              <w:rPr>
                <w:sz w:val="18"/>
                <w:szCs w:val="18"/>
              </w:rPr>
              <w:t xml:space="preserve">En cours</w:t>
            </w:r>
          </w:p>
        </w:tc>
      </w:tr>
      <w:tr>
        <w:tc>
          <w:p>
            <w:pPr>
              <w:spacing w:after="60" w:before="60"/>
            </w:pPr>
            <w:r>
              <w:rPr>
                <w:sz w:val="18"/>
                <w:szCs w:val="18"/>
              </w:rPr>
              <w:t xml:space="preserve">[EPCI réel]</w:t>
            </w:r>
          </w:p>
        </w:tc>
        <w:tc>
          <w:p>
            <w:pPr>
              <w:spacing w:after="60" w:before="60"/>
            </w:pPr>
            <w:r>
              <w:rPr>
                <w:sz w:val="18"/>
                <w:szCs w:val="18"/>
              </w:rPr>
              <w:t xml:space="preserve">Élagage et soins aux arbres</w:t>
            </w:r>
          </w:p>
        </w:tc>
        <w:tc>
          <w:p>
            <w:pPr>
              <w:spacing w:after="60" w:before="60"/>
            </w:pPr>
            <w:r>
              <w:rPr>
                <w:sz w:val="18"/>
                <w:szCs w:val="18"/>
              </w:rPr>
              <w:t xml:space="preserve">[Montant HT]</w:t>
            </w:r>
          </w:p>
        </w:tc>
        <w:tc>
          <w:p>
            <w:pPr>
              <w:spacing w:after="60" w:before="60"/>
            </w:pPr>
            <w:r>
              <w:rPr>
                <w:sz w:val="18"/>
                <w:szCs w:val="18"/>
              </w:rPr>
              <w:t xml:space="preserve">[Date]</w:t>
            </w:r>
          </w:p>
        </w:tc>
        <w:tc>
          <w:p>
            <w:pPr>
              <w:spacing w:after="60" w:before="60"/>
            </w:pPr>
            <w:r>
              <w:rPr>
                <w:sz w:val="18"/>
                <w:szCs w:val="18"/>
              </w:rPr>
              <w:t xml:space="preserve">Reconduit</w:t>
            </w:r>
          </w:p>
        </w:tc>
      </w:tr>
      <w:tr>
        <w:tc>
          <w:p>
            <w:pPr>
              <w:spacing w:after="60" w:before="60"/>
            </w:pPr>
            <w:r>
              <w:rPr>
                <w:sz w:val="18"/>
                <w:szCs w:val="18"/>
              </w:rPr>
              <w:t xml:space="preserve">[Bailleur social réel]</w:t>
            </w:r>
          </w:p>
        </w:tc>
        <w:tc>
          <w:p>
            <w:pPr>
              <w:spacing w:after="60" w:before="60"/>
            </w:pPr>
            <w:r>
              <w:rPr>
                <w:sz w:val="18"/>
                <w:szCs w:val="18"/>
              </w:rPr>
              <w:t xml:space="preserve">Création et entretien d'espaces végétalisés</w:t>
            </w:r>
          </w:p>
        </w:tc>
        <w:tc>
          <w:p>
            <w:pPr>
              <w:spacing w:after="60" w:before="60"/>
            </w:pPr>
            <w:r>
              <w:rPr>
                <w:sz w:val="18"/>
                <w:szCs w:val="18"/>
              </w:rPr>
              <w:t xml:space="preserve">[Montant HT]</w:t>
            </w:r>
          </w:p>
        </w:tc>
        <w:tc>
          <w:p>
            <w:pPr>
              <w:spacing w:after="60" w:before="60"/>
            </w:pPr>
            <w:r>
              <w:rPr>
                <w:sz w:val="18"/>
                <w:szCs w:val="18"/>
              </w:rPr>
              <w:t xml:space="preserve">[Date]</w:t>
            </w:r>
          </w:p>
        </w:tc>
        <w:tc>
          <w:p>
            <w:pPr>
              <w:spacing w:after="60" w:before="60"/>
            </w:pPr>
            <w:r>
              <w:rPr>
                <w:sz w:val="18"/>
                <w:szCs w:val="18"/>
              </w:rPr>
              <w:t xml:space="preserve">Terminé</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Entretien des espaces verts communaux — accord-cadre 3 ans</dc:title>
  <dc:creator>Opportunix</dc:creator>
  <dc:description>Squelette d'exemple à des fins d'illustration. Données fictives.</dc:description>
  <cp:lastModifiedBy>Un-named</cp:lastModifiedBy>
  <cp:revision>1</cp:revision>
  <dcterms:created xsi:type="dcterms:W3CDTF">2026-05-12T19:53:18.391Z</dcterms:created>
  <dcterms:modified xsi:type="dcterms:W3CDTF">2026-05-12T19:53:18.391Z</dcterms:modified>
</cp:coreProperties>
</file>

<file path=docProps/custom.xml><?xml version="1.0" encoding="utf-8"?>
<Properties xmlns="http://schemas.openxmlformats.org/officeDocument/2006/custom-properties" xmlns:vt="http://schemas.openxmlformats.org/officeDocument/2006/docPropsVTypes"/>
</file>