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jc w:val="center"/>
      </w:pPr>
      <w:r>
        <w:rPr>
          <w:b/>
          <w:bCs/>
        </w:rPr>
        <w:t xml:space="preserve">MÉMOIRE TECHNIQUE</w:t>
      </w:r>
    </w:p>
    <w:p>
      <w:pPr>
        <w:spacing w:after="400"/>
        <w:jc w:val="center"/>
      </w:pPr>
      <w:r>
        <w:rPr>
          <w:i/>
          <w:iCs/>
        </w:rPr>
        <w:t xml:space="preserve">Formation continue des agents — bureautique et management — Communauté d'agglomération type — exemple fictif</w:t>
      </w:r>
    </w:p>
    <w:p>
      <w:pPr>
        <w:spacing w:after="200"/>
        <w:jc w:val="center"/>
      </w:pPr>
      <w:r>
        <w:rPr>
          <w:b/>
          <w:bCs/>
          <w:color w:val="d97706"/>
          <w:sz w:val="22"/>
          <w:szCs w:val="22"/>
        </w:rPr>
        <w:t xml:space="preserve">── EXEMPLE FICTIF — STRUCTURE TYPE ──</w:t>
      </w:r>
    </w:p>
    <w:p>
      <w:pPr>
        <w:spacing w:after="600"/>
        <w:jc w:val="center"/>
      </w:pPr>
      <w:r>
        <w:rPr>
          <w:i/>
          <w:iCs/>
          <w:color w:val="8b8b8b"/>
          <w:sz w:val="18"/>
          <w:szCs w:val="18"/>
        </w:rPr>
        <w:t xml:space="preserve">Squelette d'exemple secteur "Formation Professionnelle". L'entité "Société Exemple Formation", le SIREN, l'acheteur et les références sont des données inventées à des fins d'illustration. Le dossier réellement généré sur votre AO sera entièrement personnalisé à partir du DCE chargé et de votre mémoire d'entreprise.</w:t>
      </w:r>
    </w:p>
    <w:p>
      <w:pPr>
        <w:pStyle w:val="Heading1"/>
        <w:spacing w:after="200" w:before="400"/>
      </w:pPr>
      <w:r>
        <w:rPr>
          <w:b/>
          <w:bCs/>
          <w:color w:val="d97706"/>
        </w:rPr>
        <w:t xml:space="preserve">Identification du candidat (exemple fictif)</w:t>
      </w:r>
    </w:p>
    <w:p>
      <w:pPr>
        <w:spacing w:after="200"/>
      </w:pPr>
      <w:r>
        <w:t xml:space="preserve">Raison sociale : Société Exemple Formation</w:t>
      </w:r>
    </w:p>
    <w:p>
      <w:pPr>
        <w:spacing w:after="200"/>
      </w:pPr>
      <w:r>
        <w:t xml:space="preserve">SIREN : 634 215 987 (SIREN d'exemple)</w:t>
      </w:r>
    </w:p>
    <w:p>
      <w:pPr>
        <w:spacing w:after="200"/>
      </w:pPr>
      <w:r>
        <w:t xml:space="preserve">Code NAF : 85.59A</w:t>
      </w:r>
    </w:p>
    <w:p>
      <w:pPr>
        <w:spacing w:after="200"/>
      </w:pPr>
      <w:r>
        <w:t xml:space="preserve">Effectif : 11 ETP</w:t>
      </w:r>
    </w:p>
    <w:p>
      <w:pPr>
        <w:spacing w:after="200"/>
      </w:pPr>
      <w:r>
        <w:t xml:space="preserve">Capacités principales : Formation bureautique TOSA/ICDL, Management &amp; efficacité professionnelle, Bilans de compétences certifiés.</w:t>
      </w:r>
    </w:p>
    <w:p>
      <w:pPr>
        <w:spacing w:after="200"/>
      </w:pPr>
      <w:r>
        <w:t xml:space="preserve">Pouvoir adjudicateur : Communauté d'agglomération type — exemple fictif</w:t>
      </w:r>
    </w:p>
    <w:p>
      <w:pPr>
        <w:spacing w:after="200"/>
      </w:pPr>
      <w:r>
        <w:t xml:space="preserve">Procédure : MAPA</w:t>
      </w:r>
    </w:p>
    <w:p>
      <w:pPr>
        <w:spacing w:after="200"/>
      </w:pPr>
      <w:r>
        <w:t xml:space="preserve">Budget estimé : 95 000 € HT</w:t>
      </w:r>
    </w:p>
    <w:p>
      <w:pPr>
        <w:spacing w:after="200"/>
      </w:pPr>
      <w:r>
        <w:t xml:space="preserve">Date limite de remise : 12/10/2026</w:t>
      </w:r>
    </w:p>
    <w:p>
      <w:pPr>
        <w:pStyle w:val="Heading1"/>
        <w:spacing w:after="200" w:before="400"/>
      </w:pPr>
      <w:r>
        <w:rPr>
          <w:b/>
          <w:bCs/>
          <w:color w:val="d97706"/>
        </w:rPr>
        <w:t xml:space="preserve">1. Présentation du candidat</w:t>
      </w:r>
    </w:p>
    <w:p>
      <w:pPr>
        <w:spacing w:after="200"/>
      </w:pPr>
      <w:r>
        <w:t xml:space="preserve">Société Exemple Formation, SAS au capital de 50 000 €, est un organisme de formation continue déclaré auprès de la DREETS sous le numéro [à compléter — NDA d'exemple]. 11 collaborateurs dont 4 formateurs salariés CDI et 7 formateurs vacataires sous contrat de prestation, intervenant principalement auprès des collectivités, OPCO (Atlas, Constructys, Uniformation) et entreprises de 10 à 250 salariés.</w:t>
      </w:r>
    </w:p>
    <w:p>
      <w:pPr>
        <w:spacing w:after="200"/>
      </w:pPr>
      <w:r>
        <w:t xml:space="preserve">Certification Qualiopi délivrée au titre des actions de formation (catégorie 1 du décret n° 2019-565 du 6 juin 2019), audit de surveillance réalisé en 2025 sans non-conformité. Notre BPF annuel (bilan pédagogique et financier, art. L6352-11 du Code du travail) est déposé chaque année avant le 30 avril.</w:t>
      </w:r>
    </w:p>
    <w:p>
      <w:pPr>
        <w:pStyle w:val="Heading1"/>
        <w:spacing w:after="200" w:before="400"/>
      </w:pPr>
      <w:r>
        <w:rPr>
          <w:b/>
          <w:bCs/>
          <w:color w:val="d97706"/>
        </w:rPr>
        <w:t xml:space="preserve">2. Compréhension du besoin</w:t>
      </w:r>
    </w:p>
    <w:p>
      <w:pPr>
        <w:spacing w:after="200"/>
      </w:pPr>
      <w:r>
        <w:t xml:space="preserve">Marché à bons de commande sur 18 mois portant sur la formation continue d'environ 180 agents répartis sur deux axes : (i) bureautique et outils collaboratifs (Word, Excel, Outlook, Teams) — niveaux initiation, intermédiaire et perfectionnement ; (ii) management de proximité et conduite du changement pour les encadrants intermédiaires (chefs de service, responsables d'équipe).</w:t>
      </w:r>
    </w:p>
    <w:p>
      <w:pPr>
        <w:spacing w:after="200"/>
      </w:pPr>
      <w:r>
        <w:t xml:space="preserve">Au regard du Code du travail (art. L6313-1), les actions sont qualifiées d'actions de formation au sens du 1° (actions concourant au développement des compétences). Volumétrie estimée : ~1 600 heures-stagiaires/an, sessions de 6 à 10 personnes en intra, durée modale 2 à 3 jours par module.</w:t>
      </w:r>
    </w:p>
    <w:p>
      <w:pPr>
        <w:pStyle w:val="Heading1"/>
        <w:spacing w:after="200" w:before="400"/>
      </w:pPr>
      <w:r>
        <w:rPr>
          <w:b/>
          <w:bCs/>
          <w:color w:val="d97706"/>
        </w:rPr>
        <w:t xml:space="preserve">3. Démarche qualité Qualiopi et indicateurs RNQ</w:t>
      </w:r>
    </w:p>
    <w:p>
      <w:pPr>
        <w:spacing w:after="200"/>
      </w:pPr>
      <w:r>
        <w:t xml:space="preserve">Notre système qualité couvre les 7 critères et 32 indicateurs du Référentiel National Qualité (annexe au décret n° 2019-565). Points structurants pour l'exécution du marché :</w:t>
      </w:r>
    </w:p>
    <w:p>
      <w:pPr>
        <w:spacing w:after="200"/>
      </w:pPr>
      <w:r>
        <w:t xml:space="preserve">• Indicateur 1 — information préalable au public via fiches programmes publiées (objectifs, prérequis, durée, tarif, modalités d'évaluation, accessibilité PSH) ;</w:t>
      </w:r>
    </w:p>
    <w:p>
      <w:pPr>
        <w:spacing w:after="200"/>
      </w:pPr>
      <w:r>
        <w:t xml:space="preserve">• Indicateurs 4 à 8 — adaptation des parcours aux publics, positionnement amont systématique (questionnaire + entretien si management) ;</w:t>
      </w:r>
    </w:p>
    <w:p>
      <w:pPr>
        <w:spacing w:after="200"/>
      </w:pPr>
      <w:r>
        <w:t xml:space="preserve">• Indicateurs 11 et 12 — évaluation des acquis en fin de session (QCM bureautique, mise en situation pour management) ;</w:t>
      </w:r>
    </w:p>
    <w:p>
      <w:pPr>
        <w:spacing w:after="200"/>
      </w:pPr>
      <w:r>
        <w:t xml:space="preserve">• Indicateur 30 — référent handicap nommé, conventions avec l'AGEFIPH pour adaptation matérielle.</w:t>
      </w:r>
    </w:p>
    <w:p>
      <w:pPr>
        <w:pStyle w:val="Heading1"/>
        <w:spacing w:after="200" w:before="400"/>
      </w:pPr>
      <w:r>
        <w:rPr>
          <w:b/>
          <w:bCs/>
          <w:color w:val="d97706"/>
        </w:rPr>
        <w:t xml:space="preserve">4. Ingénierie pédagogique et modalités</w:t>
      </w:r>
    </w:p>
    <w:p>
      <w:pPr>
        <w:spacing w:after="200"/>
      </w:pPr>
      <w:r>
        <w:t xml:space="preserve">Parcours bureautique structurés autour d'évaluations certifiantes TOSA (inscriptions au Répertoire Spécifique de France Compétences) éligibles au CPF / Mon Compte Formation lorsque l'agent choisit d'abonder. Format : 70 % présentiel + 30 % e-learning asynchrone sur notre plateforme LMS (hébergement UE, conformité RGPD).</w:t>
      </w:r>
    </w:p>
    <w:p>
      <w:pPr>
        <w:spacing w:after="200"/>
      </w:pPr>
      <w:r>
        <w:t xml:space="preserve">Parcours management bâti autour de séquences de 2 jours espacées de 3 à 4 semaines avec intersessions (mise en pratique terrain + journal de bord), facilitant l'ancrage des acquis. Évaluation à froid à M+3 (questionnaire transfert d'apprentissage adressé au stagiaire et à son N+1).</w:t>
      </w:r>
    </w:p>
    <w:p>
      <w:pPr>
        <w:pStyle w:val="Heading1"/>
        <w:spacing w:after="200" w:before="400"/>
      </w:pPr>
      <w:r>
        <w:rPr>
          <w:b/>
          <w:bCs/>
          <w:color w:val="d97706"/>
        </w:rPr>
        <w:t xml:space="preserve">5. Engagements contractuels et conformité L6353</w:t>
      </w:r>
    </w:p>
    <w:p>
      <w:pPr>
        <w:spacing w:after="200"/>
      </w:pPr>
      <w:r>
        <w:t xml:space="preserve">Conformément à l'article L6353-1 du Code du travail, chaque action fait l'objet d'une convention de formation professionnelle écrite précisant l'intitulé, les objectifs, le contenu, les moyens pédagogiques, la durée, les modalités d'évaluation, le prix et les modalités de règlement. Programme détaillé et règlement intérieur (art. R6352-1 et suivants) remis au stagiaire avant l'entrée en formation.</w:t>
      </w:r>
    </w:p>
    <w:p>
      <w:pPr>
        <w:spacing w:after="200"/>
      </w:pPr>
      <w:r>
        <w:t xml:space="preserve">Attestation de réalisation (et non plus « attestation de présence ») délivrée à l'issue de chaque session conformément à l'art. L6353-1 modifié par la loi du 5 septembre 2018. Émargements numériques horodatés tenus à disposition du pouvoir adjudicateur en cas de contrôle DREETS ou Cour des comptes.</w:t>
      </w:r>
    </w:p>
    <w:p>
      <w:pPr>
        <w:pStyle w:val="Heading1"/>
        <w:spacing w:after="200" w:before="400"/>
      </w:pPr>
      <w:r>
        <w:rPr>
          <w:b/>
          <w:bCs/>
          <w:color w:val="d97706"/>
        </w:rPr>
        <w:t xml:space="preserve">6. Équipe pédagogique et suivi</w:t>
      </w:r>
    </w:p>
    <w:p>
      <w:pPr>
        <w:spacing w:after="200"/>
      </w:pPr>
      <w:r>
        <w:t xml:space="preserve">Chaque formateur affecté au marché justifie d'au moins 5 ans d'expérience pédagogique sur le domaine, d'un titre ou diplôme de niveau 6 minimum (licence ou équivalent), et d'une revue annuelle de pratique (observation croisée + plan de développement formateur, indicateur 22 RNQ).</w:t>
      </w:r>
    </w:p>
    <w:p>
      <w:pPr>
        <w:spacing w:after="200"/>
      </w:pPr>
      <w:r>
        <w:t xml:space="preserve">Un référent pédagogique unique sera désigné pour le marché (point de contact PA, planification, reporting trimestriel des indicateurs : taux de remplissage, taux de satisfaction à chaud &gt; 4/5, taux de réussite aux certifications visées, taux d'abandon).</w:t>
      </w:r>
    </w:p>
    <w:p>
      <w:pPr>
        <w:pStyle w:val="Heading1"/>
        <w:spacing w:after="200" w:before="400"/>
      </w:pPr>
      <w:r>
        <w:rPr>
          <w:b/>
          <w:bCs/>
          <w:color w:val="d97706"/>
        </w:rPr>
        <w:t xml:space="preserve">7. Références (exemples structurels)</w:t>
      </w:r>
    </w:p>
    <w:p>
      <w:pPr>
        <w:spacing w:after="200"/>
      </w:pPr>
      <w:r>
        <w:t xml:space="preserve">Exemples fictifs — votre dossier réel intégrera vos vraies références :</w:t>
      </w:r>
    </w:p>
    <w:p>
      <w:pPr>
        <w:spacing w:after="200"/>
      </w:pPr>
      <w:r>
        <w:t xml:space="preserve">• [Communauté de communes réelle] — Plan de formation pluriannuel 220 agents — [≈ 70 k€/an HT] — Reconduit 2 fois.</w:t>
      </w:r>
    </w:p>
    <w:p>
      <w:pPr>
        <w:spacing w:after="200"/>
      </w:pPr>
      <w:r>
        <w:t xml:space="preserve">• [Centre hospitalier réel] — Bureautique + management de proximité 140 agents — [≈ 55 k€ HT] — Livré, satisfaction 4,6/5.</w:t>
      </w:r>
    </w:p>
    <w:p>
      <w:pPr>
        <w:pStyle w:val="Heading1"/>
        <w:spacing w:after="200" w:before="600"/>
        <w:jc w:val="center"/>
      </w:pPr>
      <w:r>
        <w:rPr>
          <w:b/>
          <w:bCs/>
          <w:color w:val="d97706"/>
        </w:rPr>
        <w:t xml:space="preserve">ANNEXES</w:t>
      </w:r>
    </w:p>
    <w:p>
      <w:pPr>
        <w:spacing w:after="400"/>
        <w:jc w:val="center"/>
      </w:pPr>
      <w:r>
        <w:rPr>
          <w:i/>
          <w:iCs/>
          <w:color w:val="8b8b8b"/>
          <w:sz w:val="18"/>
          <w:szCs w:val="18"/>
        </w:rPr>
        <w:t xml:space="preserve">Pièces jointes structurées — exemple fictif sur la base d'un AO type</w:t>
      </w:r>
    </w:p>
    <w:p>
      <w:pPr>
        <w:pStyle w:val="Heading1"/>
        <w:spacing w:after="200" w:before="400"/>
      </w:pPr>
      <w:r>
        <w:rPr>
          <w:b/>
          <w:bCs/>
          <w:color w:val="d97706"/>
        </w:rPr>
        <w:t xml:space="preserve">Annexe D — CV synthétiques de l'équipe (anonymisés)</w:t>
      </w:r>
    </w:p>
    <w:tbl>
      <w:tblPr>
        <w:tblW w:type="pct" w:w="100%"/>
        <w:tblBorders>
          <w:top w:val="single" w:color="d97706" w:sz="4"/>
          <w:left w:val="single" w:color="e5e5e5" w:sz="2"/>
          <w:bottom w:val="single" w:color="d97706" w:sz="4"/>
          <w:right w:val="single" w:color="e5e5e5" w:sz="2"/>
          <w:insideH w:val="single" w:color="e5e5e5" w:sz="2"/>
          <w:insideV w:val="single" w:color="e5e5e5" w:sz="2"/>
        </w:tblBorders>
      </w:tblPr>
      <w:tblGrid>
        <w:gridCol w:w="100"/>
        <w:gridCol w:w="100"/>
        <w:gridCol w:w="100"/>
        <w:gridCol w:w="100"/>
      </w:tblGrid>
      <w:tr>
        <w:trPr>
          <w:tblHeader/>
        </w:trPr>
        <w:tc>
          <w:tcPr>
            <w:shd w:fill="FFF7E6" w:color="auto"/>
          </w:tcPr>
          <w:p>
            <w:pPr>
              <w:spacing w:after="80" w:before="80"/>
            </w:pPr>
            <w:r>
              <w:rPr>
                <w:b/>
                <w:bCs/>
                <w:color w:val="92400e"/>
                <w:sz w:val="20"/>
                <w:szCs w:val="20"/>
              </w:rPr>
              <w:t xml:space="preserve">Profil</w:t>
            </w:r>
          </w:p>
        </w:tc>
        <w:tc>
          <w:tcPr>
            <w:shd w:fill="FFF7E6" w:color="auto"/>
          </w:tcPr>
          <w:p>
            <w:pPr>
              <w:spacing w:after="80" w:before="80"/>
            </w:pPr>
            <w:r>
              <w:rPr>
                <w:b/>
                <w:bCs/>
                <w:color w:val="92400e"/>
                <w:sz w:val="20"/>
                <w:szCs w:val="20"/>
              </w:rPr>
              <w:t xml:space="preserve">Rôle</w:t>
            </w:r>
          </w:p>
        </w:tc>
        <w:tc>
          <w:tcPr>
            <w:shd w:fill="FFF7E6" w:color="auto"/>
          </w:tcPr>
          <w:p>
            <w:pPr>
              <w:spacing w:after="80" w:before="80"/>
            </w:pPr>
            <w:r>
              <w:rPr>
                <w:b/>
                <w:bCs/>
                <w:color w:val="92400e"/>
                <w:sz w:val="20"/>
                <w:szCs w:val="20"/>
              </w:rPr>
              <w:t xml:space="preserve">Expérience</w:t>
            </w:r>
          </w:p>
        </w:tc>
        <w:tc>
          <w:tcPr>
            <w:shd w:fill="FFF7E6" w:color="auto"/>
          </w:tcPr>
          <w:p>
            <w:pPr>
              <w:spacing w:after="80" w:before="80"/>
            </w:pPr>
            <w:r>
              <w:rPr>
                <w:b/>
                <w:bCs/>
                <w:color w:val="92400e"/>
                <w:sz w:val="20"/>
                <w:szCs w:val="20"/>
              </w:rPr>
              <w:t xml:space="preserve">Qualifications / habilitations</w:t>
            </w:r>
          </w:p>
        </w:tc>
      </w:tr>
      <w:tr>
        <w:tc>
          <w:p>
            <w:pPr>
              <w:spacing w:after="60" w:before="60"/>
            </w:pPr>
            <w:r>
              <w:rPr>
                <w:sz w:val="18"/>
                <w:szCs w:val="18"/>
              </w:rPr>
              <w:t xml:space="preserve">[Responsable pédagogique]</w:t>
            </w:r>
          </w:p>
        </w:tc>
        <w:tc>
          <w:p>
            <w:pPr>
              <w:spacing w:after="60" w:before="60"/>
            </w:pPr>
            <w:r>
              <w:rPr>
                <w:sz w:val="18"/>
                <w:szCs w:val="18"/>
              </w:rPr>
              <w:t xml:space="preserve">Directrice pédagogique, référente Qualiopi</w:t>
            </w:r>
          </w:p>
        </w:tc>
        <w:tc>
          <w:p>
            <w:pPr>
              <w:spacing w:after="60" w:before="60"/>
            </w:pPr>
            <w:r>
              <w:rPr>
                <w:sz w:val="18"/>
                <w:szCs w:val="18"/>
              </w:rPr>
              <w:t xml:space="preserve">15 ans en formation continue, ex-DRH collectivité</w:t>
            </w:r>
          </w:p>
        </w:tc>
        <w:tc>
          <w:p>
            <w:pPr>
              <w:spacing w:after="60" w:before="60"/>
            </w:pPr>
            <w:r>
              <w:rPr>
                <w:sz w:val="18"/>
                <w:szCs w:val="18"/>
              </w:rPr>
              <w:t xml:space="preserve">Master 2 Sciences de l'éducation, auditrice qualité Qualiopi</w:t>
            </w:r>
          </w:p>
        </w:tc>
      </w:tr>
      <w:tr>
        <w:tc>
          <w:p>
            <w:pPr>
              <w:spacing w:after="60" w:before="60"/>
            </w:pPr>
            <w:r>
              <w:rPr>
                <w:sz w:val="18"/>
                <w:szCs w:val="18"/>
              </w:rPr>
              <w:t xml:space="preserve">[Formatrice bureautique]</w:t>
            </w:r>
          </w:p>
        </w:tc>
        <w:tc>
          <w:p>
            <w:pPr>
              <w:spacing w:after="60" w:before="60"/>
            </w:pPr>
            <w:r>
              <w:rPr>
                <w:sz w:val="18"/>
                <w:szCs w:val="18"/>
              </w:rPr>
              <w:t xml:space="preserve">Formatrice senior bureautique &amp; collaboratif</w:t>
            </w:r>
          </w:p>
        </w:tc>
        <w:tc>
          <w:p>
            <w:pPr>
              <w:spacing w:after="60" w:before="60"/>
            </w:pPr>
            <w:r>
              <w:rPr>
                <w:sz w:val="18"/>
                <w:szCs w:val="18"/>
              </w:rPr>
              <w:t xml:space="preserve">11 ans, ~3 200 stagiaires formés</w:t>
            </w:r>
          </w:p>
        </w:tc>
        <w:tc>
          <w:p>
            <w:pPr>
              <w:spacing w:after="60" w:before="60"/>
            </w:pPr>
            <w:r>
              <w:rPr>
                <w:sz w:val="18"/>
                <w:szCs w:val="18"/>
              </w:rPr>
              <w:t xml:space="preserve">TOSA Expert Excel/Word, ICDL Trainer, formation de formateurs 140h</w:t>
            </w:r>
          </w:p>
        </w:tc>
      </w:tr>
      <w:tr>
        <w:tc>
          <w:p>
            <w:pPr>
              <w:spacing w:after="60" w:before="60"/>
            </w:pPr>
            <w:r>
              <w:rPr>
                <w:sz w:val="18"/>
                <w:szCs w:val="18"/>
              </w:rPr>
              <w:t xml:space="preserve">[Formateur management]</w:t>
            </w:r>
          </w:p>
        </w:tc>
        <w:tc>
          <w:p>
            <w:pPr>
              <w:spacing w:after="60" w:before="60"/>
            </w:pPr>
            <w:r>
              <w:rPr>
                <w:sz w:val="18"/>
                <w:szCs w:val="18"/>
              </w:rPr>
              <w:t xml:space="preserve">Consultant-formateur management</w:t>
            </w:r>
          </w:p>
        </w:tc>
        <w:tc>
          <w:p>
            <w:pPr>
              <w:spacing w:after="60" w:before="60"/>
            </w:pPr>
            <w:r>
              <w:rPr>
                <w:sz w:val="18"/>
                <w:szCs w:val="18"/>
              </w:rPr>
              <w:t xml:space="preserve">13 ans, dont 6 ans encadrement opérationnel</w:t>
            </w:r>
          </w:p>
        </w:tc>
        <w:tc>
          <w:p>
            <w:pPr>
              <w:spacing w:after="60" w:before="60"/>
            </w:pPr>
            <w:r>
              <w:rPr>
                <w:sz w:val="18"/>
                <w:szCs w:val="18"/>
              </w:rPr>
              <w:t xml:space="preserve">Certifié coach RNCP niveau 6, Process Communication Model certifié</w:t>
            </w:r>
          </w:p>
        </w:tc>
      </w:tr>
      <w:tr>
        <w:tc>
          <w:p>
            <w:pPr>
              <w:spacing w:after="60" w:before="60"/>
            </w:pPr>
            <w:r>
              <w:rPr>
                <w:sz w:val="18"/>
                <w:szCs w:val="18"/>
              </w:rPr>
              <w:t xml:space="preserve">[Référent handicap]</w:t>
            </w:r>
          </w:p>
        </w:tc>
        <w:tc>
          <w:p>
            <w:pPr>
              <w:spacing w:after="60" w:before="60"/>
            </w:pPr>
            <w:r>
              <w:rPr>
                <w:sz w:val="18"/>
                <w:szCs w:val="18"/>
              </w:rPr>
              <w:t xml:space="preserve">Formateur + référent handicap</w:t>
            </w:r>
          </w:p>
        </w:tc>
        <w:tc>
          <w:p>
            <w:pPr>
              <w:spacing w:after="60" w:before="60"/>
            </w:pPr>
            <w:r>
              <w:rPr>
                <w:sz w:val="18"/>
                <w:szCs w:val="18"/>
              </w:rPr>
              <w:t xml:space="preserve">8 ans, partenariat AGEFIPH</w:t>
            </w:r>
          </w:p>
        </w:tc>
        <w:tc>
          <w:p>
            <w:pPr>
              <w:spacing w:after="60" w:before="60"/>
            </w:pPr>
            <w:r>
              <w:rPr>
                <w:sz w:val="18"/>
                <w:szCs w:val="18"/>
              </w:rPr>
              <w:t xml:space="preserve">Licence pro RH, formation référent handicap</w:t>
            </w:r>
          </w:p>
        </w:tc>
      </w:tr>
    </w:tbl>
    <w:p>
      <w:pPr>
        <w:spacing w:after="200" w:before="120"/>
      </w:pPr>
      <w:r>
        <w:rPr>
          <w:i/>
          <w:iCs/>
          <w:color w:val="8b8b8b"/>
          <w:sz w:val="18"/>
          <w:szCs w:val="18"/>
        </w:rPr>
        <w:t xml:space="preserve">Les CV nominatifs complets seront joints à la candidature. Les noms ont été anonymisés à des fins d'exemple.</w:t>
      </w:r>
    </w:p>
    <w:p>
      <w:pPr>
        <w:pStyle w:val="Heading1"/>
        <w:spacing w:after="200" w:before="400"/>
      </w:pPr>
      <w:r>
        <w:rPr>
          <w:b/>
          <w:bCs/>
          <w:color w:val="d97706"/>
        </w:rPr>
        <w:t xml:space="preserve">Annexe E — Références récentes (placeholders à personnaliser)</w:t>
      </w:r>
    </w:p>
    <w:p>
      <w:pPr>
        <w:spacing w:after="200"/>
      </w:pPr>
      <w:r>
        <w:rPr>
          <w:i/>
          <w:iCs/>
          <w:color w:val="8b8b8b"/>
          <w:sz w:val="18"/>
          <w:szCs w:val="18"/>
        </w:rPr>
        <w:t xml:space="preserve">Tableau-type — votre vrai dossier intègrera vos références issues de la mémoire d'entreprise indexée dans Opportunix, vérifiables au sens de l'art. R2152-7 CCP.</w:t>
      </w:r>
    </w:p>
    <w:tbl>
      <w:tblPr>
        <w:tblW w:type="pct" w:w="100%"/>
        <w:tblBorders>
          <w:top w:val="single" w:color="d97706" w:sz="4"/>
          <w:left w:val="single" w:color="e5e5e5" w:sz="2"/>
          <w:bottom w:val="single" w:color="d97706" w:sz="4"/>
          <w:right w:val="single" w:color="e5e5e5" w:sz="2"/>
          <w:insideH w:val="single" w:color="e5e5e5" w:sz="2"/>
          <w:insideV w:val="single" w:color="e5e5e5" w:sz="2"/>
        </w:tblBorders>
      </w:tblPr>
      <w:tblGrid>
        <w:gridCol w:w="100"/>
        <w:gridCol w:w="100"/>
        <w:gridCol w:w="100"/>
        <w:gridCol w:w="100"/>
        <w:gridCol w:w="100"/>
      </w:tblGrid>
      <w:tr>
        <w:trPr>
          <w:tblHeader/>
        </w:trPr>
        <w:tc>
          <w:tcPr>
            <w:shd w:fill="FFF7E6" w:color="auto"/>
          </w:tcPr>
          <w:p>
            <w:pPr>
              <w:spacing w:after="80" w:before="80"/>
            </w:pPr>
            <w:r>
              <w:rPr>
                <w:b/>
                <w:bCs/>
                <w:color w:val="92400e"/>
                <w:sz w:val="20"/>
                <w:szCs w:val="20"/>
              </w:rPr>
              <w:t xml:space="preserve">Pouvoir adjudicateur</w:t>
            </w:r>
          </w:p>
        </w:tc>
        <w:tc>
          <w:tcPr>
            <w:shd w:fill="FFF7E6" w:color="auto"/>
          </w:tcPr>
          <w:p>
            <w:pPr>
              <w:spacing w:after="80" w:before="80"/>
            </w:pPr>
            <w:r>
              <w:rPr>
                <w:b/>
                <w:bCs/>
                <w:color w:val="92400e"/>
                <w:sz w:val="20"/>
                <w:szCs w:val="20"/>
              </w:rPr>
              <w:t xml:space="preserve">Objet du marché</w:t>
            </w:r>
          </w:p>
        </w:tc>
        <w:tc>
          <w:tcPr>
            <w:shd w:fill="FFF7E6" w:color="auto"/>
          </w:tcPr>
          <w:p>
            <w:pPr>
              <w:spacing w:after="80" w:before="80"/>
            </w:pPr>
            <w:r>
              <w:rPr>
                <w:b/>
                <w:bCs/>
                <w:color w:val="92400e"/>
                <w:sz w:val="20"/>
                <w:szCs w:val="20"/>
              </w:rPr>
              <w:t xml:space="preserve">Montant HT</w:t>
            </w:r>
          </w:p>
        </w:tc>
        <w:tc>
          <w:tcPr>
            <w:shd w:fill="FFF7E6" w:color="auto"/>
          </w:tcPr>
          <w:p>
            <w:pPr>
              <w:spacing w:after="80" w:before="80"/>
            </w:pPr>
            <w:r>
              <w:rPr>
                <w:b/>
                <w:bCs/>
                <w:color w:val="92400e"/>
                <w:sz w:val="20"/>
                <w:szCs w:val="20"/>
              </w:rPr>
              <w:t xml:space="preserve">Année</w:t>
            </w:r>
          </w:p>
        </w:tc>
        <w:tc>
          <w:tcPr>
            <w:shd w:fill="FFF7E6" w:color="auto"/>
          </w:tcPr>
          <w:p>
            <w:pPr>
              <w:spacing w:after="80" w:before="80"/>
            </w:pPr>
            <w:r>
              <w:rPr>
                <w:b/>
                <w:bCs/>
                <w:color w:val="92400e"/>
                <w:sz w:val="20"/>
                <w:szCs w:val="20"/>
              </w:rPr>
              <w:t xml:space="preserve">Statut</w:t>
            </w:r>
          </w:p>
        </w:tc>
      </w:tr>
      <w:tr>
        <w:tc>
          <w:p>
            <w:pPr>
              <w:spacing w:after="60" w:before="60"/>
            </w:pPr>
            <w:r>
              <w:rPr>
                <w:sz w:val="18"/>
                <w:szCs w:val="18"/>
              </w:rPr>
              <w:t xml:space="preserve">[À renseigner — vraie communauté de communes]</w:t>
            </w:r>
          </w:p>
        </w:tc>
        <w:tc>
          <w:p>
            <w:pPr>
              <w:spacing w:after="60" w:before="60"/>
            </w:pPr>
            <w:r>
              <w:rPr>
                <w:sz w:val="18"/>
                <w:szCs w:val="18"/>
              </w:rPr>
              <w:t xml:space="preserve">[Plan de formation pluriannuel agents catégories B et C]</w:t>
            </w:r>
          </w:p>
        </w:tc>
        <w:tc>
          <w:p>
            <w:pPr>
              <w:spacing w:after="60" w:before="60"/>
            </w:pPr>
            <w:r>
              <w:rPr>
                <w:sz w:val="18"/>
                <w:szCs w:val="18"/>
              </w:rPr>
              <w:t xml:space="preserve">[≈ 70 k€/an HT]</w:t>
            </w:r>
          </w:p>
        </w:tc>
        <w:tc>
          <w:p>
            <w:pPr>
              <w:spacing w:after="60" w:before="60"/>
            </w:pPr>
            <w:r>
              <w:rPr>
                <w:sz w:val="18"/>
                <w:szCs w:val="18"/>
              </w:rPr>
              <w:t xml:space="preserve">[2024]</w:t>
            </w:r>
          </w:p>
        </w:tc>
        <w:tc>
          <w:p>
            <w:pPr>
              <w:spacing w:after="60" w:before="60"/>
            </w:pPr>
            <w:r>
              <w:rPr>
                <w:sz w:val="18"/>
                <w:szCs w:val="18"/>
              </w:rPr>
              <w:t xml:space="preserve">Reconduit 2 fois, satisfaction 4,5/5</w:t>
            </w:r>
          </w:p>
        </w:tc>
      </w:tr>
      <w:tr>
        <w:tc>
          <w:p>
            <w:pPr>
              <w:spacing w:after="60" w:before="60"/>
            </w:pPr>
            <w:r>
              <w:rPr>
                <w:sz w:val="18"/>
                <w:szCs w:val="18"/>
              </w:rPr>
              <w:t xml:space="preserve">[À renseigner — vrai centre hospitalier]</w:t>
            </w:r>
          </w:p>
        </w:tc>
        <w:tc>
          <w:p>
            <w:pPr>
              <w:spacing w:after="60" w:before="60"/>
            </w:pPr>
            <w:r>
              <w:rPr>
                <w:sz w:val="18"/>
                <w:szCs w:val="18"/>
              </w:rPr>
              <w:t xml:space="preserve">[Bureautique + management de proximité 140 agents]</w:t>
            </w:r>
          </w:p>
        </w:tc>
        <w:tc>
          <w:p>
            <w:pPr>
              <w:spacing w:after="60" w:before="60"/>
            </w:pPr>
            <w:r>
              <w:rPr>
                <w:sz w:val="18"/>
                <w:szCs w:val="18"/>
              </w:rPr>
              <w:t xml:space="preserve">[≈ 55 k€ HT]</w:t>
            </w:r>
          </w:p>
        </w:tc>
        <w:tc>
          <w:p>
            <w:pPr>
              <w:spacing w:after="60" w:before="60"/>
            </w:pPr>
            <w:r>
              <w:rPr>
                <w:sz w:val="18"/>
                <w:szCs w:val="18"/>
              </w:rPr>
              <w:t xml:space="preserve">[2025]</w:t>
            </w:r>
          </w:p>
        </w:tc>
        <w:tc>
          <w:p>
            <w:pPr>
              <w:spacing w:after="60" w:before="60"/>
            </w:pPr>
            <w:r>
              <w:rPr>
                <w:sz w:val="18"/>
                <w:szCs w:val="18"/>
              </w:rPr>
              <w:t xml:space="preserve">Livré, audit Qualiopi sans NC</w:t>
            </w:r>
          </w:p>
        </w:tc>
      </w:tr>
    </w:tbl>
    <w:p>
      <w:pPr>
        <w:spacing w:before="800"/>
        <w:jc w:val="center"/>
      </w:pPr>
      <w:r>
        <w:rPr>
          <w:i/>
          <w:iCs/>
          <w:color w:val="8b8b8b"/>
          <w:sz w:val="18"/>
          <w:szCs w:val="18"/>
        </w:rPr>
        <w:t xml:space="preserve">── Fin de l'exemple ──</w:t>
      </w:r>
    </w:p>
    <w:p>
      <w:pPr>
        <w:spacing w:before="200"/>
        <w:jc w:val="center"/>
      </w:pPr>
      <w:r>
        <w:rPr>
          <w:i/>
          <w:iCs/>
          <w:color w:val="8b8b8b"/>
          <w:sz w:val="16"/>
          <w:szCs w:val="16"/>
        </w:rPr>
        <w:t xml:space="preserve">Votre dossier réel sera entièrement personnalisé : DCE analysé, vraies références, vrais prix, mémoire technique sourcée.</w:t>
      </w:r>
    </w:p>
    <w:p>
      <w:pPr>
        <w:spacing w:before="200"/>
        <w:jc w:val="center"/>
      </w:pPr>
      <w:r>
        <w:rPr>
          <w:b/>
          <w:bCs/>
          <w:color w:val="d97706"/>
          <w:sz w:val="16"/>
          <w:szCs w:val="16"/>
        </w:rPr>
        <w:t xml:space="preserve">Généré par Opportunix · pipeline 10 agents IA · 30 min · à partir de 19 €</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color w:val="8b8b8b"/>
        <w:sz w:val="16"/>
        <w:szCs w:val="16"/>
      </w:rPr>
      <w:t xml:space="preserve">Squelette d'exemple — non destiné à être déposé en l'état · </w:t>
    </w:r>
    <w:r>
      <w:rPr>
        <w:color w:val="8b8b8b"/>
        <w:sz w:val="16"/>
        <w:szCs w:val="16"/>
      </w:rPr>
      <w:t xml:space="preserve">Page </w:t>
    </w:r>
    <w:r>
      <w:rPr>
        <w:color w:val="8b8b8b"/>
        <w:sz w:val="16"/>
        <w:szCs w:val="16"/>
      </w:rPr>
      <w:fldChar w:fldCharType="begin"/>
      <w:instrText xml:space="preserve">PAGE</w:instrText>
      <w:fldChar w:fldCharType="separate"/>
      <w:fldChar w:fldCharType="end"/>
    </w:r>
    <w:r>
      <w:rPr>
        <w:color w:val="8b8b8b"/>
        <w:sz w:val="16"/>
        <w:szCs w:val="16"/>
      </w:rPr>
      <w:t xml:space="preserve"> / </w:t>
    </w:r>
    <w:r>
      <w:rPr>
        <w:color w:val="8b8b8b"/>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center"/>
    </w:pPr>
    <w:r>
      <w:rPr>
        <w:b/>
        <w:bCs/>
        <w:color w:val="d97706"/>
        <w:sz w:val="16"/>
        <w:szCs w:val="16"/>
      </w:rPr>
      <w:t xml:space="preserve">EXEMPLE — DONNÉES FICTIVES — GÉNÉRÉ PAR OPPORTUNIX (IA)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Mémoire technique (exemple fictif) — Formation continue des agents — bureautique et management</dc:title>
  <dc:creator>Opportunix</dc:creator>
  <dc:description>Squelette d'exemple à des fins d'illustration. Données fictives.</dc:description>
  <cp:lastModifiedBy>Un-named</cp:lastModifiedBy>
  <cp:revision>1</cp:revision>
  <dcterms:created xsi:type="dcterms:W3CDTF">2026-05-12T19:53:18.722Z</dcterms:created>
  <dcterms:modified xsi:type="dcterms:W3CDTF">2026-05-12T19:53:18.722Z</dcterms:modified>
</cp:coreProperties>
</file>

<file path=docProps/custom.xml><?xml version="1.0" encoding="utf-8"?>
<Properties xmlns="http://schemas.openxmlformats.org/officeDocument/2006/custom-properties" xmlns:vt="http://schemas.openxmlformats.org/officeDocument/2006/docPropsVTypes"/>
</file>