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</w:rPr>
        <w:t xml:space="preserve">MÉMOIRE TECHNIQUE</w:t>
      </w:r>
    </w:p>
    <w:p>
      <w:pPr>
        <w:spacing w:after="400"/>
        <w:jc w:val="center"/>
      </w:pPr>
      <w:r>
        <w:rPr>
          <w:i/>
          <w:iCs/>
        </w:rPr>
        <w:t xml:space="preserve">Tierce maintenance applicative SI métier — Conseil départemental type — exemple fictif</w:t>
      </w:r>
    </w:p>
    <w:p>
      <w:pPr>
        <w:spacing w:after="200"/>
        <w:jc w:val="center"/>
      </w:pPr>
      <w:r>
        <w:rPr>
          <w:b/>
          <w:bCs/>
          <w:color w:val="d97706"/>
          <w:sz w:val="22"/>
          <w:szCs w:val="22"/>
        </w:rPr>
        <w:t xml:space="preserve">── EXEMPLE FICTIF — STRUCTURE TYPE ──</w:t>
      </w:r>
    </w:p>
    <w:p>
      <w:pPr>
        <w:spacing w:after="600"/>
        <w:jc w:val="center"/>
      </w:pPr>
      <w:r>
        <w:rPr>
          <w:i/>
          <w:iCs/>
          <w:color w:val="8b8b8b"/>
          <w:sz w:val="18"/>
          <w:szCs w:val="18"/>
        </w:rPr>
        <w:t xml:space="preserve">Squelette d'exemple secteur "IT / SSII / ESN". L'entité "Société Exemple Tech", le SIREN, l'acheteur et les références sont des données inventées à des fins d'illustration. Le dossier réellement généré sur votre AO sera entièrement personnalisé à partir du DCE chargé et de votre mémoire d'entreprise.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Identification du candidat (exemple fictif)</w:t>
      </w:r>
    </w:p>
    <w:p>
      <w:pPr>
        <w:spacing w:after="200"/>
      </w:pPr>
      <w:r>
        <w:t xml:space="preserve">Raison sociale : Société Exemple Tech</w:t>
      </w:r>
    </w:p>
    <w:p>
      <w:pPr>
        <w:spacing w:after="200"/>
      </w:pPr>
      <w:r>
        <w:t xml:space="preserve">SIREN : 456 789 123 (SIREN d'exemple)</w:t>
      </w:r>
    </w:p>
    <w:p>
      <w:pPr>
        <w:spacing w:after="200"/>
      </w:pPr>
      <w:r>
        <w:t xml:space="preserve">Code NAF : 62.02A</w:t>
      </w:r>
    </w:p>
    <w:p>
      <w:pPr>
        <w:spacing w:after="200"/>
      </w:pPr>
      <w:r>
        <w:t xml:space="preserve">Effectif : 38 ETP</w:t>
      </w:r>
    </w:p>
    <w:p>
      <w:pPr>
        <w:spacing w:after="200"/>
      </w:pPr>
      <w:r>
        <w:t xml:space="preserve">Capacités principales : TMA Java/Spring &amp; PHP/Symfony, ITIL v4, ISO 27001.</w:t>
      </w:r>
    </w:p>
    <w:p>
      <w:pPr>
        <w:spacing w:after="200"/>
      </w:pPr>
      <w:r>
        <w:t xml:space="preserve">Pouvoir adjudicateur : Conseil départemental type — exemple fictif</w:t>
      </w:r>
    </w:p>
    <w:p>
      <w:pPr>
        <w:spacing w:after="200"/>
      </w:pPr>
      <w:r>
        <w:t xml:space="preserve">Procédure : Procédure formalisée</w:t>
      </w:r>
    </w:p>
    <w:p>
      <w:pPr>
        <w:spacing w:after="200"/>
      </w:pPr>
      <w:r>
        <w:t xml:space="preserve">Budget estimé : 350 000 € HT</w:t>
      </w:r>
    </w:p>
    <w:p>
      <w:pPr>
        <w:spacing w:after="200"/>
      </w:pPr>
      <w:r>
        <w:t xml:space="preserve">Date limite de remise : 05/10/2026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1. Présentation du candidat</w:t>
      </w:r>
    </w:p>
    <w:p>
      <w:pPr>
        <w:spacing w:after="200"/>
      </w:pPr>
      <w:r>
        <w:t xml:space="preserve">Société Exemple Tech, SAS au capital de 200 000 €, est une ESN spécialisée TMA et infogérance d'applications métier dans le secteur public local depuis 2009. 38 collaborateurs CDI dont 24 techniques (architectes, dev seniors, DevOps).</w:t>
      </w:r>
    </w:p>
    <w:p>
      <w:pPr>
        <w:spacing w:after="200"/>
      </w:pPr>
      <w:r>
        <w:t xml:space="preserve">Certifications actives : ISO 27001:2022 (audit AFNOR mars 2025), HDS pour les applications de santé (gérée par filiale dédiée), ITIL v4 (5 personnes certifiées).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2. Compréhension du besoin</w:t>
      </w:r>
    </w:p>
    <w:p>
      <w:pPr>
        <w:spacing w:after="200"/>
      </w:pPr>
      <w:r>
        <w:t xml:space="preserve">Marché de TMA sur 3 ans + 1 an de réversibilité, portant sur 4 applications métier (gestion des aides sociales, suivi des collèges, ressources humaines, GED). Volumétrie estimée 300 j-h/an dont 60 % correctif et 40 % évolutif.</w:t>
      </w:r>
    </w:p>
    <w:p>
      <w:pPr>
        <w:spacing w:after="200"/>
      </w:pPr>
      <w:r>
        <w:t xml:space="preserve">Enjeux principaux : maintien en condition opérationnelle 99,5 % HO, intégration continue avec les fournisseurs en place, montée de version progressive des frameworks (Symfony 6→7, Java 11→17).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3. Engagements SLA et organisation du support</w:t>
      </w:r>
    </w:p>
    <w:p>
      <w:pPr>
        <w:spacing w:after="200"/>
      </w:pPr>
      <w:r>
        <w:t xml:space="preserve">Niveaux d'engagement (heures ouvrées 8h-18h hors WE/JF) :</w:t>
      </w:r>
    </w:p>
    <w:p>
      <w:pPr>
        <w:spacing w:after="200"/>
      </w:pPr>
      <w:r>
        <w:t xml:space="preserve">• P1 — incident bloquant production : prise en compte 30 min, restauration 4h, RCA sous 5 j.</w:t>
      </w:r>
    </w:p>
    <w:p>
      <w:pPr>
        <w:spacing w:after="200"/>
      </w:pPr>
      <w:r>
        <w:t xml:space="preserve">• P2 — fonctionnalité majeure dégradée : 1h, 8h, 10 j.</w:t>
      </w:r>
    </w:p>
    <w:p>
      <w:pPr>
        <w:spacing w:after="200"/>
      </w:pPr>
      <w:r>
        <w:t xml:space="preserve">• P3 — anomalie mineure : 4h, 5 j ouvrés, livraison patch sous 30 j.</w:t>
      </w:r>
    </w:p>
    <w:p>
      <w:pPr>
        <w:spacing w:after="200"/>
      </w:pPr>
      <w:r>
        <w:t xml:space="preserve">• Astreinte 24/7 optionnelle : facturée à part selon BPU.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4. Méthodologie de delivery (Agile + ITIL)</w:t>
      </w:r>
    </w:p>
    <w:p>
      <w:pPr>
        <w:spacing w:after="200"/>
      </w:pPr>
      <w:r>
        <w:t xml:space="preserve">Cycle de vie ITSM aligné ITIL v4 : Service Desk en N1 (notre filiale), N2/N3 par les équipes dev. Outillage : Jira Service Management + Confluence + GitLab CI auto-hébergé en France.</w:t>
      </w:r>
    </w:p>
    <w:p>
      <w:pPr>
        <w:spacing w:after="200"/>
      </w:pPr>
      <w:r>
        <w:t xml:space="preserve">Évolutions livrées en sprints de 3 semaines avec démo mensuelle au métier. Code revue obligatoire (2 yeux), couverture unitaire ≥ 70 % sur le code modifié, scan SonarQube intégré au pipeline CI.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5. Sécurité et conformité</w:t>
      </w:r>
    </w:p>
    <w:p>
      <w:pPr>
        <w:spacing w:after="200"/>
      </w:pPr>
      <w:r>
        <w:t xml:space="preserve">Politique de sécurité documentée (PSI), revue annuellement. Habilitation des intervenants : KBIS + extrait B3 vierge à l'embauche. Accès aux SI clients via VPN MFA + bastion (Wallix).</w:t>
      </w:r>
    </w:p>
    <w:p>
      <w:pPr>
        <w:spacing w:after="200"/>
      </w:pPr>
      <w:r>
        <w:t xml:space="preserve">RGPD : DPIA sur demande pour toute évolution touchant aux données personnelles. Chiffrement TLS 1.3 obligatoire pour tous les flux.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6. Plan de réversibilité</w:t>
      </w:r>
    </w:p>
    <w:p>
      <w:pPr>
        <w:spacing w:after="200"/>
      </w:pPr>
      <w:r>
        <w:t xml:space="preserve">Phase de réversibilité 12 mois en fin de marché : transfert documentaire (DAT, DEX, runbooks à jour), formation 5 j-h des équipes du repreneur, accompagnement parallèle de 2 mois. Engagement contractuel sur la complétude des livrables (matrice de responsabilités).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7. Références (exemples structurels)</w:t>
      </w:r>
    </w:p>
    <w:p>
      <w:pPr>
        <w:spacing w:after="200"/>
      </w:pPr>
      <w:r>
        <w:t xml:space="preserve">Exemples fictifs — votre dossier réel intégrera les références vérifiables issues de votre mémoire :</w:t>
      </w:r>
    </w:p>
    <w:p>
      <w:pPr>
        <w:spacing w:after="200"/>
      </w:pPr>
      <w:r>
        <w:t xml:space="preserve">• [Conseil régional réel] — TMA Java/Symfony 5 ans — [Montant] — Renouvelé.</w:t>
      </w:r>
    </w:p>
    <w:p>
      <w:pPr>
        <w:spacing w:after="200"/>
      </w:pPr>
      <w:r>
        <w:t xml:space="preserve">• [Mairie réelle] — Infogérance + RUN — [Montant] — En cours.</w:t>
      </w:r>
    </w:p>
    <w:p>
      <w:pPr>
        <w:pStyle w:val="Heading1"/>
        <w:spacing w:after="200" w:before="600"/>
        <w:jc w:val="center"/>
      </w:pPr>
      <w:r>
        <w:rPr>
          <w:b/>
          <w:bCs/>
          <w:color w:val="d97706"/>
        </w:rPr>
        <w:t xml:space="preserve">ANNEXES</w:t>
      </w:r>
    </w:p>
    <w:p>
      <w:pPr>
        <w:spacing w:after="400"/>
        <w:jc w:val="center"/>
      </w:pPr>
      <w:r>
        <w:rPr>
          <w:i/>
          <w:iCs/>
          <w:color w:val="8b8b8b"/>
          <w:sz w:val="18"/>
          <w:szCs w:val="18"/>
        </w:rPr>
        <w:t xml:space="preserve">Pièces jointes structurées — exemple fictif sur la base d'un AO type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D — CV synthétiques de l'équipe (anonymisés)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Profil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Rôle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Expérience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Qualifications / habilitations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[Architecte senior]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Tech Lead / Architecte applicatif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14 ans Java/Spring, 4 missions secteur public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Sun Certified Java Architect, AWS Solutions Architect Associate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[Dev senior A]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Dev senior backend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9 ans Symfony, 3 ans secteur public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OCP Java SE 11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[Dev senior B]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Dev senior frontend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8 ans Vue/React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ITIL v4 Foundation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[Resp. sécurité]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Responsable RSSI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11 ans, ex-banque + secteur public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ISO 27001 Lead Auditor, CISSP</w:t>
            </w:r>
          </w:p>
        </w:tc>
      </w:tr>
    </w:tbl>
    <w:p>
      <w:pPr>
        <w:spacing w:after="200" w:before="120"/>
      </w:pPr>
      <w:r>
        <w:rPr>
          <w:i/>
          <w:iCs/>
          <w:color w:val="8b8b8b"/>
          <w:sz w:val="18"/>
          <w:szCs w:val="18"/>
        </w:rPr>
        <w:t xml:space="preserve">Les CV nominatifs complets seront joints à la candidature. Les noms ont été anonymisés à des fins d'exemple.</w:t>
      </w:r>
    </w:p>
    <w:p>
      <w:pPr>
        <w:pStyle w:val="Heading1"/>
        <w:spacing w:after="200" w:before="400"/>
      </w:pPr>
      <w:r>
        <w:rPr>
          <w:b/>
          <w:bCs/>
          <w:color w:val="d97706"/>
        </w:rPr>
        <w:t xml:space="preserve">Annexe E — Références récentes (placeholders à personnaliser)</w:t>
      </w:r>
    </w:p>
    <w:p>
      <w:pPr>
        <w:spacing w:after="200"/>
      </w:pPr>
      <w:r>
        <w:rPr>
          <w:i/>
          <w:iCs/>
          <w:color w:val="8b8b8b"/>
          <w:sz w:val="18"/>
          <w:szCs w:val="18"/>
        </w:rPr>
        <w:t xml:space="preserve">Tableau-type — votre vrai dossier intègrera vos références issues de la mémoire d'entreprise indexée dans Opportunix, vérifiables au sens de l'art. R2152-7 CCP.</w:t>
      </w:r>
    </w:p>
    <w:tbl>
      <w:tblPr>
        <w:tblW w:type="pct" w:w="100%"/>
        <w:tblBorders>
          <w:top w:val="single" w:color="d97706" w:sz="4"/>
          <w:left w:val="single" w:color="e5e5e5" w:sz="2"/>
          <w:bottom w:val="single" w:color="d97706" w:sz="4"/>
          <w:right w:val="single" w:color="e5e5e5" w:sz="2"/>
          <w:insideH w:val="single" w:color="e5e5e5" w:sz="2"/>
          <w:insideV w:val="single" w:color="e5e5e5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Pouvoir adjudicateur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Objet du marché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Montant HT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Année</w:t>
            </w:r>
          </w:p>
        </w:tc>
        <w:tc>
          <w:tcPr>
            <w:shd w:fill="FFF7E6" w:color="auto"/>
          </w:tcPr>
          <w:p>
            <w:pPr>
              <w:spacing w:after="80" w:before="80"/>
            </w:pPr>
            <w:r>
              <w:rPr>
                <w:b/>
                <w:bCs/>
                <w:color w:val="92400e"/>
                <w:sz w:val="20"/>
                <w:szCs w:val="20"/>
              </w:rPr>
              <w:t xml:space="preserve">Statut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 conseil régional]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[TMA SI métier Java 4 applis]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280 k€/an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[2022]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Renouvelé 2 fois</w:t>
            </w:r>
          </w:p>
        </w:tc>
      </w:tr>
      <w:tr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[À renseigner — vraie mairie de préfecture]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[Infogérance + RUN portail citoyen]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[≈ 195 k€/an HT]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[2024]</w:t>
            </w:r>
          </w:p>
        </w:tc>
        <w:tc>
          <w:p>
            <w:pPr>
              <w:spacing w:after="60" w:before="60"/>
            </w:pPr>
            <w:r>
              <w:rPr>
                <w:sz w:val="18"/>
                <w:szCs w:val="18"/>
              </w:rPr>
              <w:t xml:space="preserve">En cours, SLA tenu 99,7 %</w:t>
            </w:r>
          </w:p>
        </w:tc>
      </w:tr>
    </w:tbl>
    <w:p>
      <w:pPr>
        <w:spacing w:before="800"/>
        <w:jc w:val="center"/>
      </w:pPr>
      <w:r>
        <w:rPr>
          <w:i/>
          <w:iCs/>
          <w:color w:val="8b8b8b"/>
          <w:sz w:val="18"/>
          <w:szCs w:val="18"/>
        </w:rPr>
        <w:t xml:space="preserve">── Fin de l'exemple ──</w:t>
      </w:r>
    </w:p>
    <w:p>
      <w:pPr>
        <w:spacing w:before="200"/>
        <w:jc w:val="center"/>
      </w:pPr>
      <w:r>
        <w:rPr>
          <w:i/>
          <w:iCs/>
          <w:color w:val="8b8b8b"/>
          <w:sz w:val="16"/>
          <w:szCs w:val="16"/>
        </w:rPr>
        <w:t xml:space="preserve">Votre dossier réel sera entièrement personnalisé : DCE analysé, vraies références, vrais prix, mémoire technique sourcée.</w:t>
      </w:r>
    </w:p>
    <w:p>
      <w:pPr>
        <w:spacing w:before="200"/>
        <w:jc w:val="center"/>
      </w:pPr>
      <w:r>
        <w:rPr>
          <w:b/>
          <w:bCs/>
          <w:color w:val="d97706"/>
          <w:sz w:val="16"/>
          <w:szCs w:val="16"/>
        </w:rPr>
        <w:t xml:space="preserve">Généré par Opportunix · pipeline 10 agents IA · 30 min · à partir de 19 €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8b8b8b"/>
        <w:sz w:val="16"/>
        <w:szCs w:val="16"/>
      </w:rPr>
      <w:t xml:space="preserve">Squelette d'exemple — non destiné à être déposé en l'état · </w:t>
    </w:r>
    <w:r>
      <w:rPr>
        <w:color w:val="8b8b8b"/>
        <w:sz w:val="16"/>
        <w:szCs w:val="16"/>
      </w:rPr>
      <w:t xml:space="preserve">Page </w:t>
    </w:r>
    <w:r>
      <w:rPr>
        <w:color w:val="8b8b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b8b8b"/>
        <w:sz w:val="16"/>
        <w:szCs w:val="16"/>
      </w:rPr>
      <w:t xml:space="preserve"> / </w:t>
    </w:r>
    <w:r>
      <w:rPr>
        <w:color w:val="8b8b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color w:val="d97706"/>
        <w:sz w:val="16"/>
        <w:szCs w:val="16"/>
      </w:rPr>
      <w:t xml:space="preserve">EXEMPLE — DONNÉES FICTIVES — GÉNÉRÉ PAR OPPORTUNIX (IA)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Mémoire technique (exemple fictif) — Tierce maintenance applicative SI métier</dc:title>
  <dc:creator>Opportunix</dc:creator>
  <dc:description>Squelette d'exemple à des fins d'illustration. Données fictives.</dc:description>
  <cp:lastModifiedBy>Un-named</cp:lastModifiedBy>
  <cp:revision>1</cp:revision>
  <dcterms:created xsi:type="dcterms:W3CDTF">2026-05-12T19:53:17.436Z</dcterms:created>
  <dcterms:modified xsi:type="dcterms:W3CDTF">2026-05-12T19:53:17.436Z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