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jc w:val="center"/>
      </w:pPr>
      <w:r>
        <w:rPr>
          <w:b/>
          <w:bCs/>
        </w:rPr>
        <w:t xml:space="preserve">MÉMOIRE TECHNIQUE</w:t>
      </w:r>
    </w:p>
    <w:p>
      <w:pPr>
        <w:spacing w:after="400"/>
        <w:jc w:val="center"/>
      </w:pPr>
      <w:r>
        <w:rPr>
          <w:i/>
          <w:iCs/>
        </w:rPr>
        <w:t xml:space="preserve">Fourniture et pose de mobilier — école élémentaire neuve — Commune type — exemple fictif</w:t>
      </w:r>
    </w:p>
    <w:p>
      <w:pPr>
        <w:spacing w:after="200"/>
        <w:jc w:val="center"/>
      </w:pPr>
      <w:r>
        <w:rPr>
          <w:b/>
          <w:bCs/>
          <w:color w:val="d97706"/>
          <w:sz w:val="22"/>
          <w:szCs w:val="22"/>
        </w:rPr>
        <w:t xml:space="preserve">── EXEMPLE FICTIF — STRUCTURE TYPE ──</w:t>
      </w:r>
    </w:p>
    <w:p>
      <w:pPr>
        <w:spacing w:after="600"/>
        <w:jc w:val="center"/>
      </w:pPr>
      <w:r>
        <w:rPr>
          <w:i/>
          <w:iCs/>
          <w:color w:val="8b8b8b"/>
          <w:sz w:val="18"/>
          <w:szCs w:val="18"/>
        </w:rPr>
        <w:t xml:space="preserve">Squelette d'exemple secteur "Mobilier / Fournitures (bureau, scolaire, urbain)". L'entité "Société Exemple Mobilier", le SIREN, l'acheteur et les références sont des données inventées à des fins d'illustration. Le dossier réellement généré sur votre AO sera entièrement personnalisé à partir du DCE chargé et de votre mémoire d'entreprise.</w:t>
      </w:r>
    </w:p>
    <w:p>
      <w:pPr>
        <w:pStyle w:val="Heading1"/>
        <w:spacing w:after="200" w:before="400"/>
      </w:pPr>
      <w:r>
        <w:rPr>
          <w:b/>
          <w:bCs/>
          <w:color w:val="d97706"/>
        </w:rPr>
        <w:t xml:space="preserve">Identification du candidat (exemple fictif)</w:t>
      </w:r>
    </w:p>
    <w:p>
      <w:pPr>
        <w:spacing w:after="200"/>
      </w:pPr>
      <w:r>
        <w:t xml:space="preserve">Raison sociale : Société Exemple Mobilier</w:t>
      </w:r>
    </w:p>
    <w:p>
      <w:pPr>
        <w:spacing w:after="200"/>
      </w:pPr>
      <w:r>
        <w:t xml:space="preserve">SIREN : 528 974 631 (SIREN d'exemple)</w:t>
      </w:r>
    </w:p>
    <w:p>
      <w:pPr>
        <w:spacing w:after="200"/>
      </w:pPr>
      <w:r>
        <w:t xml:space="preserve">Code NAF : 46.65Z</w:t>
      </w:r>
    </w:p>
    <w:p>
      <w:pPr>
        <w:spacing w:after="200"/>
      </w:pPr>
      <w:r>
        <w:t xml:space="preserve">Effectif : 22 ETP</w:t>
      </w:r>
    </w:p>
    <w:p>
      <w:pPr>
        <w:spacing w:after="200"/>
      </w:pPr>
      <w:r>
        <w:t xml:space="preserve">Capacités principales : Mobilier scolaire NF EN 1729, Aménagement médiathèque et tertiaire, Pose et SAV intégrés.</w:t>
      </w:r>
    </w:p>
    <w:p>
      <w:pPr>
        <w:spacing w:after="200"/>
      </w:pPr>
      <w:r>
        <w:t xml:space="preserve">Pouvoir adjudicateur : Commune type — exemple fictif</w:t>
      </w:r>
    </w:p>
    <w:p>
      <w:pPr>
        <w:spacing w:after="200"/>
      </w:pPr>
      <w:r>
        <w:t xml:space="preserve">Procédure : MAPA</w:t>
      </w:r>
    </w:p>
    <w:p>
      <w:pPr>
        <w:spacing w:after="200"/>
      </w:pPr>
      <w:r>
        <w:t xml:space="preserve">Budget estimé : 135 000 € HT</w:t>
      </w:r>
    </w:p>
    <w:p>
      <w:pPr>
        <w:spacing w:after="200"/>
      </w:pPr>
      <w:r>
        <w:t xml:space="preserve">Date limite de remise : 08/11/2026</w:t>
      </w:r>
    </w:p>
    <w:p>
      <w:pPr>
        <w:pStyle w:val="Heading1"/>
        <w:spacing w:after="200" w:before="400"/>
      </w:pPr>
      <w:r>
        <w:rPr>
          <w:b/>
          <w:bCs/>
          <w:color w:val="d97706"/>
        </w:rPr>
        <w:t xml:space="preserve">1. Présentation du candidat</w:t>
      </w:r>
    </w:p>
    <w:p>
      <w:pPr>
        <w:spacing w:after="200"/>
      </w:pPr>
      <w:r>
        <w:t xml:space="preserve">Société Exemple Mobilier, SAS au capital de 120 000 €, est un fabricant-distributeur de mobilier collectivités (scolaire, périscolaire, tertiaire, médiathèque) implantée depuis 2003. 22 salariés répartis sur un site de 1 800 m² (showroom, bureau d'études, atelier d'assemblage, équipe pose mobile de 4 personnes).</w:t>
      </w:r>
    </w:p>
    <w:p>
      <w:pPr>
        <w:spacing w:after="200"/>
      </w:pPr>
      <w:r>
        <w:t xml:space="preserve">Nous sommes fournisseur de l'UGAP au catalogue mobilier scolaire et de plusieurs centrales d'achat territoriales. Atelier menuiserie partenaire certifié PEFC pour la traçabilité des panneaux mélaminés et plateaux hêtre / chêne.</w:t>
      </w:r>
    </w:p>
    <w:p>
      <w:pPr>
        <w:pStyle w:val="Heading1"/>
        <w:spacing w:after="200" w:before="400"/>
      </w:pPr>
      <w:r>
        <w:rPr>
          <w:b/>
          <w:bCs/>
          <w:color w:val="d97706"/>
        </w:rPr>
        <w:t xml:space="preserve">2. Compréhension du besoin</w:t>
      </w:r>
    </w:p>
    <w:p>
      <w:pPr>
        <w:spacing w:after="200"/>
      </w:pPr>
      <w:r>
        <w:t xml:space="preserve">Marché de fourniture et pose pour une école élémentaire neuve de 8 classes (CP au CM2) + 1 salle d'arts plastiques + 1 BCD : tables et chaises élèves taille 4 à 6 selon classes d'âge, bureaux et fauteuils enseignants, armoires basses et hautes de rangement, tableaux blancs, mobilier BCD (bacs à albums, étagères basses, fauteuils lecture).</w:t>
      </w:r>
    </w:p>
    <w:p>
      <w:pPr>
        <w:spacing w:after="200"/>
      </w:pPr>
      <w:r>
        <w:t xml:space="preserve">Volume estimé ~135 k€ HT. Livraison et pose attendues pendant la fermeture estivale (mi-juillet à mi-août 2027) pour rentrée opérationnelle. Enjeux : conformité dimensionnelle aux normes scolaires européennes, sécurité-feu pour ERP type R, robustesse pour usage quotidien intensif.</w:t>
      </w:r>
    </w:p>
    <w:p>
      <w:pPr>
        <w:pStyle w:val="Heading1"/>
        <w:spacing w:after="200" w:before="400"/>
      </w:pPr>
      <w:r>
        <w:rPr>
          <w:b/>
          <w:bCs/>
          <w:color w:val="d97706"/>
        </w:rPr>
        <w:t xml:space="preserve">3. Conformité normative — mobilier scolaire NF EN 1729</w:t>
      </w:r>
    </w:p>
    <w:p>
      <w:pPr>
        <w:spacing w:after="200"/>
      </w:pPr>
      <w:r>
        <w:t xml:space="preserve">Tables et chaises élèves conformes aux deux parties de la norme :</w:t>
      </w:r>
    </w:p>
    <w:p>
      <w:pPr>
        <w:spacing w:after="200"/>
      </w:pPr>
      <w:r>
        <w:t xml:space="preserve">• NF EN 1729-1 — dimensions fonctionnelles : nous proposons les tailles 4 (hauteur d'assise 380 mm, repère orange), 5 (430 mm, vert) et 6 (460 mm, bleu), correspondant aux tranches de taille CP-CM2 (entre 133 et 175 cm) ;</w:t>
      </w:r>
    </w:p>
    <w:p>
      <w:pPr>
        <w:spacing w:after="200"/>
      </w:pPr>
      <w:r>
        <w:t xml:space="preserve">• NF EN 1729-2 — exigences de sécurité et méthodes d'essai : stabilité, résistance statique et dynamique, durabilité des assemblages, absence d'arêtes vives, certification réalisée par laboratoire FCBA.</w:t>
      </w:r>
    </w:p>
    <w:p>
      <w:pPr>
        <w:spacing w:after="200"/>
      </w:pPr>
      <w:r>
        <w:t xml:space="preserve">Tableaux blancs émaillés acier garantis 25 ans contre l'effaçage et la corrosion. Armoires métalliques certifiées NF Education / NF Office Excellence Certifié (selon famille de produit) — référentiel FCBA garantissant solidité, stabilité et sécurité usagers.</w:t>
      </w:r>
    </w:p>
    <w:p>
      <w:pPr>
        <w:pStyle w:val="Heading1"/>
        <w:spacing w:after="200" w:before="400"/>
      </w:pPr>
      <w:r>
        <w:rPr>
          <w:b/>
          <w:bCs/>
          <w:color w:val="d97706"/>
        </w:rPr>
        <w:t xml:space="preserve">4. Sécurité incendie et environnement</w:t>
      </w:r>
    </w:p>
    <w:p>
      <w:pPr>
        <w:spacing w:after="200"/>
      </w:pPr>
      <w:r>
        <w:t xml:space="preserve">Tous les mobiliers rembourrés (fauteuils lecture BCD, banquettes) sont classés au feu M1 selon NF P92-507, correspondant à la classe européenne C-s2,d0 selon NF EN 13501-1 — niveau requis pour les sièges en ERP (Établissement Recevant du Public). Procès-verbaux d'essai des laboratoires agréés (CTICM, LNE) joints en annexe.</w:t>
      </w:r>
    </w:p>
    <w:p>
      <w:pPr>
        <w:spacing w:after="200"/>
      </w:pPr>
      <w:r>
        <w:t xml:space="preserve">Engagement environnemental : panneaux mélaminés classe E1 (émissions formaldéhyde &lt; 0,124 mg/m³ d'air selon NF EN 717-1), bois massif issu de filières PEFC ou FSC, peintures et vernis sans solvants chlorés. Reprise et recyclage de l'ancien mobilier proposé en option (filière Valdelia, éco-organisme agréé mobilier professionnel).</w:t>
      </w:r>
    </w:p>
    <w:p>
      <w:pPr>
        <w:pStyle w:val="Heading1"/>
        <w:spacing w:after="200" w:before="400"/>
      </w:pPr>
      <w:r>
        <w:rPr>
          <w:b/>
          <w:bCs/>
          <w:color w:val="d97706"/>
        </w:rPr>
        <w:t xml:space="preserve">5. Pose et livraison</w:t>
      </w:r>
    </w:p>
    <w:p>
      <w:pPr>
        <w:spacing w:after="200"/>
      </w:pPr>
      <w:r>
        <w:t xml:space="preserve">Notre équipe pose interne (4 monteurs salariés + chef d'équipe) intervient en propre, sans sous-traitance. Délai de livraison standard : 8 à 10 semaines après validation des commandes pour les références catalogue, 12 à 14 semaines pour les éléments sur-mesure (banques d'accueil BCD).</w:t>
      </w:r>
    </w:p>
    <w:p>
      <w:pPr>
        <w:spacing w:after="200"/>
      </w:pPr>
      <w:r>
        <w:t xml:space="preserve">Prestations incluses : déchargement, montage, mise en place selon plan d'implantation validé par la direction de l'école, évacuation des emballages cartons et films plastiques en filière de recyclage (bordereau de suivi des déchets fourni). Nettoyage final des locaux avant remise des clés.</w:t>
      </w:r>
    </w:p>
    <w:p>
      <w:pPr>
        <w:pStyle w:val="Heading1"/>
        <w:spacing w:after="200" w:before="400"/>
      </w:pPr>
      <w:r>
        <w:rPr>
          <w:b/>
          <w:bCs/>
          <w:color w:val="d97706"/>
        </w:rPr>
        <w:t xml:space="preserve">6. Garanties et SAV</w:t>
      </w:r>
    </w:p>
    <w:p>
      <w:pPr>
        <w:spacing w:after="200"/>
      </w:pPr>
      <w:r>
        <w:t xml:space="preserve">Garanties contractuelles :</w:t>
      </w:r>
    </w:p>
    <w:p>
      <w:pPr>
        <w:spacing w:after="200"/>
      </w:pPr>
      <w:r>
        <w:t xml:space="preserve">• 10 ans sur les structures métalliques (piètements tables et chaises, armoires) ;</w:t>
      </w:r>
    </w:p>
    <w:p>
      <w:pPr>
        <w:spacing w:after="200"/>
      </w:pPr>
      <w:r>
        <w:t xml:space="preserve">• 5 ans sur les plateaux mélaminés et les coques d'assise polypropylène ;</w:t>
      </w:r>
    </w:p>
    <w:p>
      <w:pPr>
        <w:spacing w:after="200"/>
      </w:pPr>
      <w:r>
        <w:t xml:space="preserve">• 2 ans sur les éléments d'usure (vérins, roulettes, charnières) ;</w:t>
      </w:r>
    </w:p>
    <w:p>
      <w:pPr>
        <w:spacing w:after="200"/>
      </w:pPr>
      <w:r>
        <w:t xml:space="preserve">• Stock de pièces détachées garanti 10 ans après la fin de commercialisation d'une gamme — engagement écrit du fabricant joint en annexe.</w:t>
      </w:r>
    </w:p>
    <w:p>
      <w:pPr>
        <w:spacing w:after="200"/>
      </w:pPr>
      <w:r>
        <w:t xml:space="preserve">Hotline SAV par téléphone et email (jours ouvrés 8h30-17h30), délai d'intervention sur site sous 10 jours ouvrés en cas de défaut sécurité (arête, fixation), 30 jours pour les autres défauts. Suivi via numéro de ticket unique.</w:t>
      </w:r>
    </w:p>
    <w:p>
      <w:pPr>
        <w:pStyle w:val="Heading1"/>
        <w:spacing w:after="200" w:before="400"/>
      </w:pPr>
      <w:r>
        <w:rPr>
          <w:b/>
          <w:bCs/>
          <w:color w:val="d97706"/>
        </w:rPr>
        <w:t xml:space="preserve">7. Références (exemples structurels)</w:t>
      </w:r>
    </w:p>
    <w:p>
      <w:pPr>
        <w:spacing w:after="200"/>
      </w:pPr>
      <w:r>
        <w:t xml:space="preserve">Exemples fictifs — votre dossier réel intégrera vos vraies références :</w:t>
      </w:r>
    </w:p>
    <w:p>
      <w:pPr>
        <w:spacing w:after="200"/>
      </w:pPr>
      <w:r>
        <w:t xml:space="preserve">• [Mairie réelle] — Équipement école neuve 6 classes — [≈ 105 k€ HT] — Livré et posé été 2024.</w:t>
      </w:r>
    </w:p>
    <w:p>
      <w:pPr>
        <w:spacing w:after="200"/>
      </w:pPr>
      <w:r>
        <w:t xml:space="preserve">• [Conseil départemental réel] — Mobilier collège 22 salles — [≈ 320 k€ HT] — Marché 4 lots, reconduit.</w:t>
      </w:r>
    </w:p>
    <w:p>
      <w:pPr>
        <w:pStyle w:val="Heading1"/>
        <w:spacing w:after="200" w:before="600"/>
        <w:jc w:val="center"/>
      </w:pPr>
      <w:r>
        <w:rPr>
          <w:b/>
          <w:bCs/>
          <w:color w:val="d97706"/>
        </w:rPr>
        <w:t xml:space="preserve">ANNEXES</w:t>
      </w:r>
    </w:p>
    <w:p>
      <w:pPr>
        <w:spacing w:after="400"/>
        <w:jc w:val="center"/>
      </w:pPr>
      <w:r>
        <w:rPr>
          <w:i/>
          <w:iCs/>
          <w:color w:val="8b8b8b"/>
          <w:sz w:val="18"/>
          <w:szCs w:val="18"/>
        </w:rPr>
        <w:t xml:space="preserve">Pièces jointes structurées — exemple fictif sur la base d'un AO type</w:t>
      </w:r>
    </w:p>
    <w:p>
      <w:pPr>
        <w:pStyle w:val="Heading1"/>
        <w:spacing w:after="200" w:before="400"/>
      </w:pPr>
      <w:r>
        <w:rPr>
          <w:b/>
          <w:bCs/>
          <w:color w:val="d97706"/>
        </w:rPr>
        <w:t xml:space="preserve">Annexe C — Produits et fiches techniques</w:t>
      </w:r>
    </w:p>
    <w:tbl>
      <w:tblPr>
        <w:tblW w:type="pct" w:w="100%"/>
        <w:tblBorders>
          <w:top w:val="single" w:color="d97706" w:sz="4"/>
          <w:left w:val="single" w:color="e5e5e5" w:sz="2"/>
          <w:bottom w:val="single" w:color="d97706" w:sz="4"/>
          <w:right w:val="single" w:color="e5e5e5" w:sz="2"/>
          <w:insideH w:val="single" w:color="e5e5e5" w:sz="2"/>
          <w:insideV w:val="single" w:color="e5e5e5" w:sz="2"/>
        </w:tblBorders>
      </w:tblPr>
      <w:tblGrid>
        <w:gridCol w:w="100"/>
        <w:gridCol w:w="100"/>
        <w:gridCol w:w="100"/>
        <w:gridCol w:w="100"/>
      </w:tblGrid>
      <w:tr>
        <w:trPr>
          <w:tblHeader/>
        </w:trPr>
        <w:tc>
          <w:tcPr>
            <w:shd w:fill="FFF7E6" w:color="auto"/>
          </w:tcPr>
          <w:p>
            <w:pPr>
              <w:spacing w:after="80" w:before="80"/>
            </w:pPr>
            <w:r>
              <w:rPr>
                <w:b/>
                <w:bCs/>
                <w:color w:val="92400e"/>
                <w:sz w:val="20"/>
                <w:szCs w:val="20"/>
              </w:rPr>
              <w:t xml:space="preserve">Produit / Fournisseur</w:t>
            </w:r>
          </w:p>
        </w:tc>
        <w:tc>
          <w:tcPr>
            <w:shd w:fill="FFF7E6" w:color="auto"/>
          </w:tcPr>
          <w:p>
            <w:pPr>
              <w:spacing w:after="80" w:before="80"/>
            </w:pPr>
            <w:r>
              <w:rPr>
                <w:b/>
                <w:bCs/>
                <w:color w:val="92400e"/>
                <w:sz w:val="20"/>
                <w:szCs w:val="20"/>
              </w:rPr>
              <w:t xml:space="preserve">Certifications</w:t>
            </w:r>
          </w:p>
        </w:tc>
        <w:tc>
          <w:tcPr>
            <w:shd w:fill="FFF7E6" w:color="auto"/>
          </w:tcPr>
          <w:p>
            <w:pPr>
              <w:spacing w:after="80" w:before="80"/>
            </w:pPr>
            <w:r>
              <w:rPr>
                <w:b/>
                <w:bCs/>
                <w:color w:val="92400e"/>
                <w:sz w:val="20"/>
                <w:szCs w:val="20"/>
              </w:rPr>
              <w:t xml:space="preserve">Classement feu</w:t>
            </w:r>
          </w:p>
        </w:tc>
        <w:tc>
          <w:tcPr>
            <w:shd w:fill="FFF7E6" w:color="auto"/>
          </w:tcPr>
          <w:p>
            <w:pPr>
              <w:spacing w:after="80" w:before="80"/>
            </w:pPr>
            <w:r>
              <w:rPr>
                <w:b/>
                <w:bCs/>
                <w:color w:val="92400e"/>
                <w:sz w:val="20"/>
                <w:szCs w:val="20"/>
              </w:rPr>
              <w:t xml:space="preserve">COV</w:t>
            </w:r>
          </w:p>
        </w:tc>
      </w:tr>
      <w:tr>
        <w:tc>
          <w:p>
            <w:pPr>
              <w:spacing w:after="60" w:before="60"/>
            </w:pPr>
            <w:r>
              <w:rPr>
                <w:sz w:val="18"/>
                <w:szCs w:val="18"/>
              </w:rPr>
              <w:t xml:space="preserve">Chaise élève coque PP, piètement tubulaire acier, tailles 4-5-6 — Atelier partenaire France (PEFC)</w:t>
            </w:r>
          </w:p>
        </w:tc>
        <w:tc>
          <w:p>
            <w:pPr>
              <w:spacing w:after="60" w:before="60"/>
            </w:pPr>
            <w:r>
              <w:rPr>
                <w:sz w:val="18"/>
                <w:szCs w:val="18"/>
              </w:rPr>
              <w:t xml:space="preserve">NF EN 1729-1 et NF EN 1729-2 (essais FCBA)</w:t>
            </w:r>
          </w:p>
        </w:tc>
        <w:tc>
          <w:p>
            <w:pPr>
              <w:spacing w:after="60" w:before="60"/>
            </w:pPr>
            <w:r>
              <w:rPr>
                <w:sz w:val="18"/>
                <w:szCs w:val="18"/>
              </w:rPr>
              <w:t xml:space="preserve">M2 / D-s2,d0</w:t>
            </w:r>
          </w:p>
        </w:tc>
        <w:tc>
          <w:p>
            <w:pPr>
              <w:spacing w:after="60" w:before="60"/>
            </w:pPr>
            <w:r>
              <w:rPr>
                <w:sz w:val="18"/>
                <w:szCs w:val="18"/>
              </w:rPr>
              <w:t xml:space="preserve">Coque PP sans phtalates</w:t>
            </w:r>
          </w:p>
        </w:tc>
      </w:tr>
      <w:tr>
        <w:tc>
          <w:p>
            <w:pPr>
              <w:spacing w:after="60" w:before="60"/>
            </w:pPr>
            <w:r>
              <w:rPr>
                <w:sz w:val="18"/>
                <w:szCs w:val="18"/>
              </w:rPr>
              <w:t xml:space="preserve">Table élève bi-place plateau mélaminé 25 mm chants ABS — Atelier partenaire France (PEFC)</w:t>
            </w:r>
          </w:p>
        </w:tc>
        <w:tc>
          <w:p>
            <w:pPr>
              <w:spacing w:after="60" w:before="60"/>
            </w:pPr>
            <w:r>
              <w:rPr>
                <w:sz w:val="18"/>
                <w:szCs w:val="18"/>
              </w:rPr>
              <w:t xml:space="preserve">NF EN 1729-1 et NF EN 1729-2</w:t>
            </w:r>
          </w:p>
        </w:tc>
        <w:tc>
          <w:p>
            <w:pPr>
              <w:spacing w:after="60" w:before="60"/>
            </w:pPr>
            <w:r>
              <w:rPr>
                <w:sz w:val="18"/>
                <w:szCs w:val="18"/>
              </w:rPr>
              <w:t xml:space="preserve">Plateau mélaminé classe E1 (NF EN 717-1)</w:t>
            </w:r>
          </w:p>
        </w:tc>
        <w:tc>
          <w:p>
            <w:pPr>
              <w:spacing w:after="60" w:before="60"/>
            </w:pPr>
            <w:r>
              <w:rPr>
                <w:sz w:val="18"/>
                <w:szCs w:val="18"/>
              </w:rPr>
              <w:t xml:space="preserve">&lt; 0,124 mg/m³ formaldéhyde</w:t>
            </w:r>
          </w:p>
        </w:tc>
      </w:tr>
      <w:tr>
        <w:tc>
          <w:p>
            <w:pPr>
              <w:spacing w:after="60" w:before="60"/>
            </w:pPr>
            <w:r>
              <w:rPr>
                <w:sz w:val="18"/>
                <w:szCs w:val="18"/>
              </w:rPr>
              <w:t xml:space="preserve">Armoire métallique haute 1980x1000x420 mm, 4 tablettes réglables — Fabricant français [à préciser]</w:t>
            </w:r>
          </w:p>
        </w:tc>
        <w:tc>
          <w:p>
            <w:pPr>
              <w:spacing w:after="60" w:before="60"/>
            </w:pPr>
            <w:r>
              <w:rPr>
                <w:sz w:val="18"/>
                <w:szCs w:val="18"/>
              </w:rPr>
              <w:t xml:space="preserve">NF Office Excellence Certifié (FCBA)</w:t>
            </w:r>
          </w:p>
        </w:tc>
        <w:tc>
          <w:p>
            <w:pPr>
              <w:spacing w:after="60" w:before="60"/>
            </w:pPr>
            <w:r>
              <w:rPr>
                <w:sz w:val="18"/>
                <w:szCs w:val="18"/>
              </w:rPr>
              <w:t xml:space="preserve">Structure acier A1 incombustible</w:t>
            </w:r>
          </w:p>
        </w:tc>
        <w:tc>
          <w:p>
            <w:pPr>
              <w:spacing w:after="60" w:before="60"/>
            </w:pPr>
            <w:r>
              <w:rPr>
                <w:sz w:val="18"/>
                <w:szCs w:val="18"/>
              </w:rPr>
              <w:t xml:space="preserve">Peinture époxy sans solvant chloré</w:t>
            </w:r>
          </w:p>
        </w:tc>
      </w:tr>
      <w:tr>
        <w:tc>
          <w:p>
            <w:pPr>
              <w:spacing w:after="60" w:before="60"/>
            </w:pPr>
            <w:r>
              <w:rPr>
                <w:sz w:val="18"/>
                <w:szCs w:val="18"/>
              </w:rPr>
              <w:t xml:space="preserve">Fauteuil lecture BCD assise mousse HR, housse tissu — Fabricant français [à préciser]</w:t>
            </w:r>
          </w:p>
        </w:tc>
        <w:tc>
          <w:p>
            <w:pPr>
              <w:spacing w:after="60" w:before="60"/>
            </w:pPr>
            <w:r>
              <w:rPr>
                <w:sz w:val="18"/>
                <w:szCs w:val="18"/>
              </w:rPr>
              <w:t xml:space="preserve">Conformité NF D 60-013 mobilier collectivité</w:t>
            </w:r>
          </w:p>
        </w:tc>
        <w:tc>
          <w:p>
            <w:pPr>
              <w:spacing w:after="60" w:before="60"/>
            </w:pPr>
            <w:r>
              <w:rPr>
                <w:sz w:val="18"/>
                <w:szCs w:val="18"/>
              </w:rPr>
              <w:t xml:space="preserve">Mousse et housse M1 (NF P92-507 / C-s2,d0 selon NF EN 13501-1)</w:t>
            </w:r>
          </w:p>
        </w:tc>
        <w:tc>
          <w:p>
            <w:pPr>
              <w:spacing w:after="60" w:before="60"/>
            </w:pPr>
            <w:r>
              <w:rPr>
                <w:sz w:val="18"/>
                <w:szCs w:val="18"/>
              </w:rPr>
              <w:t xml:space="preserve">Housse Oeko-Tex Standard 100</w:t>
            </w:r>
          </w:p>
        </w:tc>
      </w:tr>
    </w:tbl>
    <w:p>
      <w:pPr>
        <w:pStyle w:val="Heading1"/>
        <w:spacing w:after="200" w:before="400"/>
      </w:pPr>
      <w:r>
        <w:rPr>
          <w:b/>
          <w:bCs/>
          <w:color w:val="d97706"/>
        </w:rPr>
        <w:t xml:space="preserve">Annexe D — CV synthétiques de l'équipe (anonymisés)</w:t>
      </w:r>
    </w:p>
    <w:tbl>
      <w:tblPr>
        <w:tblW w:type="pct" w:w="100%"/>
        <w:tblBorders>
          <w:top w:val="single" w:color="d97706" w:sz="4"/>
          <w:left w:val="single" w:color="e5e5e5" w:sz="2"/>
          <w:bottom w:val="single" w:color="d97706" w:sz="4"/>
          <w:right w:val="single" w:color="e5e5e5" w:sz="2"/>
          <w:insideH w:val="single" w:color="e5e5e5" w:sz="2"/>
          <w:insideV w:val="single" w:color="e5e5e5" w:sz="2"/>
        </w:tblBorders>
      </w:tblPr>
      <w:tblGrid>
        <w:gridCol w:w="100"/>
        <w:gridCol w:w="100"/>
        <w:gridCol w:w="100"/>
        <w:gridCol w:w="100"/>
      </w:tblGrid>
      <w:tr>
        <w:trPr>
          <w:tblHeader/>
        </w:trPr>
        <w:tc>
          <w:tcPr>
            <w:shd w:fill="FFF7E6" w:color="auto"/>
          </w:tcPr>
          <w:p>
            <w:pPr>
              <w:spacing w:after="80" w:before="80"/>
            </w:pPr>
            <w:r>
              <w:rPr>
                <w:b/>
                <w:bCs/>
                <w:color w:val="92400e"/>
                <w:sz w:val="20"/>
                <w:szCs w:val="20"/>
              </w:rPr>
              <w:t xml:space="preserve">Profil</w:t>
            </w:r>
          </w:p>
        </w:tc>
        <w:tc>
          <w:tcPr>
            <w:shd w:fill="FFF7E6" w:color="auto"/>
          </w:tcPr>
          <w:p>
            <w:pPr>
              <w:spacing w:after="80" w:before="80"/>
            </w:pPr>
            <w:r>
              <w:rPr>
                <w:b/>
                <w:bCs/>
                <w:color w:val="92400e"/>
                <w:sz w:val="20"/>
                <w:szCs w:val="20"/>
              </w:rPr>
              <w:t xml:space="preserve">Rôle</w:t>
            </w:r>
          </w:p>
        </w:tc>
        <w:tc>
          <w:tcPr>
            <w:shd w:fill="FFF7E6" w:color="auto"/>
          </w:tcPr>
          <w:p>
            <w:pPr>
              <w:spacing w:after="80" w:before="80"/>
            </w:pPr>
            <w:r>
              <w:rPr>
                <w:b/>
                <w:bCs/>
                <w:color w:val="92400e"/>
                <w:sz w:val="20"/>
                <w:szCs w:val="20"/>
              </w:rPr>
              <w:t xml:space="preserve">Expérience</w:t>
            </w:r>
          </w:p>
        </w:tc>
        <w:tc>
          <w:tcPr>
            <w:shd w:fill="FFF7E6" w:color="auto"/>
          </w:tcPr>
          <w:p>
            <w:pPr>
              <w:spacing w:after="80" w:before="80"/>
            </w:pPr>
            <w:r>
              <w:rPr>
                <w:b/>
                <w:bCs/>
                <w:color w:val="92400e"/>
                <w:sz w:val="20"/>
                <w:szCs w:val="20"/>
              </w:rPr>
              <w:t xml:space="preserve">Qualifications / habilitations</w:t>
            </w:r>
          </w:p>
        </w:tc>
      </w:tr>
      <w:tr>
        <w:tc>
          <w:p>
            <w:pPr>
              <w:spacing w:after="60" w:before="60"/>
            </w:pPr>
            <w:r>
              <w:rPr>
                <w:sz w:val="18"/>
                <w:szCs w:val="18"/>
              </w:rPr>
              <w:t xml:space="preserve">[Responsable commercial collectivités]</w:t>
            </w:r>
          </w:p>
        </w:tc>
        <w:tc>
          <w:p>
            <w:pPr>
              <w:spacing w:after="60" w:before="60"/>
            </w:pPr>
            <w:r>
              <w:rPr>
                <w:sz w:val="18"/>
                <w:szCs w:val="18"/>
              </w:rPr>
              <w:t xml:space="preserve">Responsable commercial marchés publics</w:t>
            </w:r>
          </w:p>
        </w:tc>
        <w:tc>
          <w:p>
            <w:pPr>
              <w:spacing w:after="60" w:before="60"/>
            </w:pPr>
            <w:r>
              <w:rPr>
                <w:sz w:val="18"/>
                <w:szCs w:val="18"/>
              </w:rPr>
              <w:t xml:space="preserve">14 ans, ex-UGAP</w:t>
            </w:r>
          </w:p>
        </w:tc>
        <w:tc>
          <w:p>
            <w:pPr>
              <w:spacing w:after="60" w:before="60"/>
            </w:pPr>
            <w:r>
              <w:rPr>
                <w:sz w:val="18"/>
                <w:szCs w:val="18"/>
              </w:rPr>
              <w:t xml:space="preserve">Bac+5 école de commerce, formation MAPA et marchés publics CNFPT</w:t>
            </w:r>
          </w:p>
        </w:tc>
      </w:tr>
      <w:tr>
        <w:tc>
          <w:p>
            <w:pPr>
              <w:spacing w:after="60" w:before="60"/>
            </w:pPr>
            <w:r>
              <w:rPr>
                <w:sz w:val="18"/>
                <w:szCs w:val="18"/>
              </w:rPr>
              <w:t xml:space="preserve">[Bureau d'études]</w:t>
            </w:r>
          </w:p>
        </w:tc>
        <w:tc>
          <w:p>
            <w:pPr>
              <w:spacing w:after="60" w:before="60"/>
            </w:pPr>
            <w:r>
              <w:rPr>
                <w:sz w:val="18"/>
                <w:szCs w:val="18"/>
              </w:rPr>
              <w:t xml:space="preserve">Chargé de bureau d'études et plans d'implantation</w:t>
            </w:r>
          </w:p>
        </w:tc>
        <w:tc>
          <w:p>
            <w:pPr>
              <w:spacing w:after="60" w:before="60"/>
            </w:pPr>
            <w:r>
              <w:rPr>
                <w:sz w:val="18"/>
                <w:szCs w:val="18"/>
              </w:rPr>
              <w:t xml:space="preserve">9 ans agencement collectivités</w:t>
            </w:r>
          </w:p>
        </w:tc>
        <w:tc>
          <w:p>
            <w:pPr>
              <w:spacing w:after="60" w:before="60"/>
            </w:pPr>
            <w:r>
              <w:rPr>
                <w:sz w:val="18"/>
                <w:szCs w:val="18"/>
              </w:rPr>
              <w:t xml:space="preserve">Licence pro Aménagement, maîtrise AutoCAD / SketchUp</w:t>
            </w:r>
          </w:p>
        </w:tc>
      </w:tr>
      <w:tr>
        <w:tc>
          <w:p>
            <w:pPr>
              <w:spacing w:after="60" w:before="60"/>
            </w:pPr>
            <w:r>
              <w:rPr>
                <w:sz w:val="18"/>
                <w:szCs w:val="18"/>
              </w:rPr>
              <w:t xml:space="preserve">[Chef d'équipe pose]</w:t>
            </w:r>
          </w:p>
        </w:tc>
        <w:tc>
          <w:p>
            <w:pPr>
              <w:spacing w:after="60" w:before="60"/>
            </w:pPr>
            <w:r>
              <w:rPr>
                <w:sz w:val="18"/>
                <w:szCs w:val="18"/>
              </w:rPr>
              <w:t xml:space="preserve">Chef d'équipe pose et SAV</w:t>
            </w:r>
          </w:p>
        </w:tc>
        <w:tc>
          <w:p>
            <w:pPr>
              <w:spacing w:after="60" w:before="60"/>
            </w:pPr>
            <w:r>
              <w:rPr>
                <w:sz w:val="18"/>
                <w:szCs w:val="18"/>
              </w:rPr>
              <w:t xml:space="preserve">12 ans menuiserie agencement, encadre 4 monteurs</w:t>
            </w:r>
          </w:p>
        </w:tc>
        <w:tc>
          <w:p>
            <w:pPr>
              <w:spacing w:after="60" w:before="60"/>
            </w:pPr>
            <w:r>
              <w:rPr>
                <w:sz w:val="18"/>
                <w:szCs w:val="18"/>
              </w:rPr>
              <w:t xml:space="preserve">CAP Menuiserie agencement, habilitation électrique BS-BE manœuvre, SST</w:t>
            </w:r>
          </w:p>
        </w:tc>
      </w:tr>
      <w:tr>
        <w:tc>
          <w:p>
            <w:pPr>
              <w:spacing w:after="60" w:before="60"/>
            </w:pPr>
            <w:r>
              <w:rPr>
                <w:sz w:val="18"/>
                <w:szCs w:val="18"/>
              </w:rPr>
              <w:t xml:space="preserve">[Responsable qualité]</w:t>
            </w:r>
          </w:p>
        </w:tc>
        <w:tc>
          <w:p>
            <w:pPr>
              <w:spacing w:after="60" w:before="60"/>
            </w:pPr>
            <w:r>
              <w:rPr>
                <w:sz w:val="18"/>
                <w:szCs w:val="18"/>
              </w:rPr>
              <w:t xml:space="preserve">Responsable qualité et conformité</w:t>
            </w:r>
          </w:p>
        </w:tc>
        <w:tc>
          <w:p>
            <w:pPr>
              <w:spacing w:after="60" w:before="60"/>
            </w:pPr>
            <w:r>
              <w:rPr>
                <w:sz w:val="18"/>
                <w:szCs w:val="18"/>
              </w:rPr>
              <w:t xml:space="preserve">10 ans, suivi des certifications FCBA</w:t>
            </w:r>
          </w:p>
        </w:tc>
        <w:tc>
          <w:p>
            <w:pPr>
              <w:spacing w:after="60" w:before="60"/>
            </w:pPr>
            <w:r>
              <w:rPr>
                <w:sz w:val="18"/>
                <w:szCs w:val="18"/>
              </w:rPr>
              <w:t xml:space="preserve">Master Qualité, formation NF EN 1729 / NF Education</w:t>
            </w:r>
          </w:p>
        </w:tc>
      </w:tr>
    </w:tbl>
    <w:p>
      <w:pPr>
        <w:spacing w:after="200" w:before="120"/>
      </w:pPr>
      <w:r>
        <w:rPr>
          <w:i/>
          <w:iCs/>
          <w:color w:val="8b8b8b"/>
          <w:sz w:val="18"/>
          <w:szCs w:val="18"/>
        </w:rPr>
        <w:t xml:space="preserve">Les CV nominatifs complets seront joints à la candidature. Les noms ont été anonymisés à des fins d'exemple.</w:t>
      </w:r>
    </w:p>
    <w:p>
      <w:pPr>
        <w:pStyle w:val="Heading1"/>
        <w:spacing w:after="200" w:before="400"/>
      </w:pPr>
      <w:r>
        <w:rPr>
          <w:b/>
          <w:bCs/>
          <w:color w:val="d97706"/>
        </w:rPr>
        <w:t xml:space="preserve">Annexe E — Références récentes (placeholders à personnaliser)</w:t>
      </w:r>
    </w:p>
    <w:p>
      <w:pPr>
        <w:spacing w:after="200"/>
      </w:pPr>
      <w:r>
        <w:rPr>
          <w:i/>
          <w:iCs/>
          <w:color w:val="8b8b8b"/>
          <w:sz w:val="18"/>
          <w:szCs w:val="18"/>
        </w:rPr>
        <w:t xml:space="preserve">Tableau-type — votre vrai dossier intègrera vos références issues de la mémoire d'entreprise indexée dans Opportunix, vérifiables au sens de l'art. R2152-7 CCP.</w:t>
      </w:r>
    </w:p>
    <w:tbl>
      <w:tblPr>
        <w:tblW w:type="pct" w:w="100%"/>
        <w:tblBorders>
          <w:top w:val="single" w:color="d97706" w:sz="4"/>
          <w:left w:val="single" w:color="e5e5e5" w:sz="2"/>
          <w:bottom w:val="single" w:color="d97706" w:sz="4"/>
          <w:right w:val="single" w:color="e5e5e5" w:sz="2"/>
          <w:insideH w:val="single" w:color="e5e5e5" w:sz="2"/>
          <w:insideV w:val="single" w:color="e5e5e5" w:sz="2"/>
        </w:tblBorders>
      </w:tblPr>
      <w:tblGrid>
        <w:gridCol w:w="100"/>
        <w:gridCol w:w="100"/>
        <w:gridCol w:w="100"/>
        <w:gridCol w:w="100"/>
        <w:gridCol w:w="100"/>
      </w:tblGrid>
      <w:tr>
        <w:trPr>
          <w:tblHeader/>
        </w:trPr>
        <w:tc>
          <w:tcPr>
            <w:shd w:fill="FFF7E6" w:color="auto"/>
          </w:tcPr>
          <w:p>
            <w:pPr>
              <w:spacing w:after="80" w:before="80"/>
            </w:pPr>
            <w:r>
              <w:rPr>
                <w:b/>
                <w:bCs/>
                <w:color w:val="92400e"/>
                <w:sz w:val="20"/>
                <w:szCs w:val="20"/>
              </w:rPr>
              <w:t xml:space="preserve">Pouvoir adjudicateur</w:t>
            </w:r>
          </w:p>
        </w:tc>
        <w:tc>
          <w:tcPr>
            <w:shd w:fill="FFF7E6" w:color="auto"/>
          </w:tcPr>
          <w:p>
            <w:pPr>
              <w:spacing w:after="80" w:before="80"/>
            </w:pPr>
            <w:r>
              <w:rPr>
                <w:b/>
                <w:bCs/>
                <w:color w:val="92400e"/>
                <w:sz w:val="20"/>
                <w:szCs w:val="20"/>
              </w:rPr>
              <w:t xml:space="preserve">Objet du marché</w:t>
            </w:r>
          </w:p>
        </w:tc>
        <w:tc>
          <w:tcPr>
            <w:shd w:fill="FFF7E6" w:color="auto"/>
          </w:tcPr>
          <w:p>
            <w:pPr>
              <w:spacing w:after="80" w:before="80"/>
            </w:pPr>
            <w:r>
              <w:rPr>
                <w:b/>
                <w:bCs/>
                <w:color w:val="92400e"/>
                <w:sz w:val="20"/>
                <w:szCs w:val="20"/>
              </w:rPr>
              <w:t xml:space="preserve">Montant HT</w:t>
            </w:r>
          </w:p>
        </w:tc>
        <w:tc>
          <w:tcPr>
            <w:shd w:fill="FFF7E6" w:color="auto"/>
          </w:tcPr>
          <w:p>
            <w:pPr>
              <w:spacing w:after="80" w:before="80"/>
            </w:pPr>
            <w:r>
              <w:rPr>
                <w:b/>
                <w:bCs/>
                <w:color w:val="92400e"/>
                <w:sz w:val="20"/>
                <w:szCs w:val="20"/>
              </w:rPr>
              <w:t xml:space="preserve">Année</w:t>
            </w:r>
          </w:p>
        </w:tc>
        <w:tc>
          <w:tcPr>
            <w:shd w:fill="FFF7E6" w:color="auto"/>
          </w:tcPr>
          <w:p>
            <w:pPr>
              <w:spacing w:after="80" w:before="80"/>
            </w:pPr>
            <w:r>
              <w:rPr>
                <w:b/>
                <w:bCs/>
                <w:color w:val="92400e"/>
                <w:sz w:val="20"/>
                <w:szCs w:val="20"/>
              </w:rPr>
              <w:t xml:space="preserve">Statut</w:t>
            </w:r>
          </w:p>
        </w:tc>
      </w:tr>
      <w:tr>
        <w:tc>
          <w:p>
            <w:pPr>
              <w:spacing w:after="60" w:before="60"/>
            </w:pPr>
            <w:r>
              <w:rPr>
                <w:sz w:val="18"/>
                <w:szCs w:val="18"/>
              </w:rPr>
              <w:t xml:space="preserve">[À renseigner — vraie mairie]</w:t>
            </w:r>
          </w:p>
        </w:tc>
        <w:tc>
          <w:p>
            <w:pPr>
              <w:spacing w:after="60" w:before="60"/>
            </w:pPr>
            <w:r>
              <w:rPr>
                <w:sz w:val="18"/>
                <w:szCs w:val="18"/>
              </w:rPr>
              <w:t xml:space="preserve">[Équipement école élémentaire 6 classes + BCD]</w:t>
            </w:r>
          </w:p>
        </w:tc>
        <w:tc>
          <w:p>
            <w:pPr>
              <w:spacing w:after="60" w:before="60"/>
            </w:pPr>
            <w:r>
              <w:rPr>
                <w:sz w:val="18"/>
                <w:szCs w:val="18"/>
              </w:rPr>
              <w:t xml:space="preserve">[≈ 105 k€ HT]</w:t>
            </w:r>
          </w:p>
        </w:tc>
        <w:tc>
          <w:p>
            <w:pPr>
              <w:spacing w:after="60" w:before="60"/>
            </w:pPr>
            <w:r>
              <w:rPr>
                <w:sz w:val="18"/>
                <w:szCs w:val="18"/>
              </w:rPr>
              <w:t xml:space="preserve">[2024]</w:t>
            </w:r>
          </w:p>
        </w:tc>
        <w:tc>
          <w:p>
            <w:pPr>
              <w:spacing w:after="60" w:before="60"/>
            </w:pPr>
            <w:r>
              <w:rPr>
                <w:sz w:val="18"/>
                <w:szCs w:val="18"/>
              </w:rPr>
              <w:t xml:space="preserve">Livré et posé pendant fermeture estivale</w:t>
            </w:r>
          </w:p>
        </w:tc>
      </w:tr>
      <w:tr>
        <w:tc>
          <w:p>
            <w:pPr>
              <w:spacing w:after="60" w:before="60"/>
            </w:pPr>
            <w:r>
              <w:rPr>
                <w:sz w:val="18"/>
                <w:szCs w:val="18"/>
              </w:rPr>
              <w:t xml:space="preserve">[À renseigner — vrai conseil départemental]</w:t>
            </w:r>
          </w:p>
        </w:tc>
        <w:tc>
          <w:p>
            <w:pPr>
              <w:spacing w:after="60" w:before="60"/>
            </w:pPr>
            <w:r>
              <w:rPr>
                <w:sz w:val="18"/>
                <w:szCs w:val="18"/>
              </w:rPr>
              <w:t xml:space="preserve">[Mobilier collège 22 salles, 4 lots]</w:t>
            </w:r>
          </w:p>
        </w:tc>
        <w:tc>
          <w:p>
            <w:pPr>
              <w:spacing w:after="60" w:before="60"/>
            </w:pPr>
            <w:r>
              <w:rPr>
                <w:sz w:val="18"/>
                <w:szCs w:val="18"/>
              </w:rPr>
              <w:t xml:space="preserve">[≈ 320 k€ HT]</w:t>
            </w:r>
          </w:p>
        </w:tc>
        <w:tc>
          <w:p>
            <w:pPr>
              <w:spacing w:after="60" w:before="60"/>
            </w:pPr>
            <w:r>
              <w:rPr>
                <w:sz w:val="18"/>
                <w:szCs w:val="18"/>
              </w:rPr>
              <w:t xml:space="preserve">[2023]</w:t>
            </w:r>
          </w:p>
        </w:tc>
        <w:tc>
          <w:p>
            <w:pPr>
              <w:spacing w:after="60" w:before="60"/>
            </w:pPr>
            <w:r>
              <w:rPr>
                <w:sz w:val="18"/>
                <w:szCs w:val="18"/>
              </w:rPr>
              <w:t xml:space="preserve">Reconduit, SAV tenu en délai</w:t>
            </w:r>
          </w:p>
        </w:tc>
      </w:tr>
    </w:tbl>
    <w:p>
      <w:pPr>
        <w:spacing w:before="800"/>
        <w:jc w:val="center"/>
      </w:pPr>
      <w:r>
        <w:rPr>
          <w:i/>
          <w:iCs/>
          <w:color w:val="8b8b8b"/>
          <w:sz w:val="18"/>
          <w:szCs w:val="18"/>
        </w:rPr>
        <w:t xml:space="preserve">── Fin de l'exemple ──</w:t>
      </w:r>
    </w:p>
    <w:p>
      <w:pPr>
        <w:spacing w:before="200"/>
        <w:jc w:val="center"/>
      </w:pPr>
      <w:r>
        <w:rPr>
          <w:i/>
          <w:iCs/>
          <w:color w:val="8b8b8b"/>
          <w:sz w:val="16"/>
          <w:szCs w:val="16"/>
        </w:rPr>
        <w:t xml:space="preserve">Votre dossier réel sera entièrement personnalisé : DCE analysé, vraies références, vrais prix, mémoire technique sourcée.</w:t>
      </w:r>
    </w:p>
    <w:p>
      <w:pPr>
        <w:spacing w:before="200"/>
        <w:jc w:val="center"/>
      </w:pPr>
      <w:r>
        <w:rPr>
          <w:b/>
          <w:bCs/>
          <w:color w:val="d97706"/>
          <w:sz w:val="16"/>
          <w:szCs w:val="16"/>
        </w:rPr>
        <w:t xml:space="preserve">Généré par Opportunix · pipeline 10 agents IA · 30 min · à partir de 19 €</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color w:val="8b8b8b"/>
        <w:sz w:val="16"/>
        <w:szCs w:val="16"/>
      </w:rPr>
      <w:t xml:space="preserve">Squelette d'exemple — non destiné à être déposé en l'état · </w:t>
    </w:r>
    <w:r>
      <w:rPr>
        <w:color w:val="8b8b8b"/>
        <w:sz w:val="16"/>
        <w:szCs w:val="16"/>
      </w:rPr>
      <w:t xml:space="preserve">Page </w:t>
    </w:r>
    <w:r>
      <w:rPr>
        <w:color w:val="8b8b8b"/>
        <w:sz w:val="16"/>
        <w:szCs w:val="16"/>
      </w:rPr>
      <w:fldChar w:fldCharType="begin"/>
      <w:instrText xml:space="preserve">PAGE</w:instrText>
      <w:fldChar w:fldCharType="separate"/>
      <w:fldChar w:fldCharType="end"/>
    </w:r>
    <w:r>
      <w:rPr>
        <w:color w:val="8b8b8b"/>
        <w:sz w:val="16"/>
        <w:szCs w:val="16"/>
      </w:rPr>
      <w:t xml:space="preserve"> / </w:t>
    </w:r>
    <w:r>
      <w:rPr>
        <w:color w:val="8b8b8b"/>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b/>
        <w:bCs/>
        <w:color w:val="d97706"/>
        <w:sz w:val="16"/>
        <w:szCs w:val="16"/>
      </w:rPr>
      <w:t xml:space="preserve">EXEMPLE — DONNÉES FICTIVES — GÉNÉRÉ PAR OPPORTUNIX (IA)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Mémoire technique (exemple fictif) — Fourniture et pose de mobilier — école élémentaire neuve</dc:title>
  <dc:creator>Opportunix</dc:creator>
  <dc:description>Squelette d'exemple à des fins d'illustration. Données fictives.</dc:description>
  <cp:lastModifiedBy>Un-named</cp:lastModifiedBy>
  <cp:revision>1</cp:revision>
  <dcterms:created xsi:type="dcterms:W3CDTF">2026-05-12T19:53:18.840Z</dcterms:created>
  <dcterms:modified xsi:type="dcterms:W3CDTF">2026-05-12T19:53:18.840Z</dcterms:modified>
</cp:coreProperties>
</file>

<file path=docProps/custom.xml><?xml version="1.0" encoding="utf-8"?>
<Properties xmlns="http://schemas.openxmlformats.org/officeDocument/2006/custom-properties" xmlns:vt="http://schemas.openxmlformats.org/officeDocument/2006/docPropsVTypes"/>
</file>