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jc w:val="center"/>
      </w:pPr>
      <w:r>
        <w:rPr>
          <w:b/>
          <w:bCs/>
        </w:rPr>
        <w:t xml:space="preserve">MÉMOIRE TECHNIQUE</w:t>
      </w:r>
    </w:p>
    <w:p>
      <w:pPr>
        <w:spacing w:after="400"/>
        <w:jc w:val="center"/>
      </w:pPr>
      <w:r>
        <w:rPr>
          <w:i/>
          <w:iCs/>
        </w:rPr>
        <w:t xml:space="preserve">Transport scolaire 8 lignes régulières pour un EPCI rural — Communauté de communes type — exemple fictif</w:t>
      </w:r>
    </w:p>
    <w:p>
      <w:pPr>
        <w:spacing w:after="200"/>
        <w:jc w:val="center"/>
      </w:pPr>
      <w:r>
        <w:rPr>
          <w:b/>
          <w:bCs/>
          <w:color w:val="d97706"/>
          <w:sz w:val="22"/>
          <w:szCs w:val="22"/>
        </w:rPr>
        <w:t xml:space="preserve">── EXEMPLE FICTIF — STRUCTURE TYPE ──</w:t>
      </w:r>
    </w:p>
    <w:p>
      <w:pPr>
        <w:spacing w:after="600"/>
        <w:jc w:val="center"/>
      </w:pPr>
      <w:r>
        <w:rPr>
          <w:i/>
          <w:iCs/>
          <w:color w:val="8b8b8b"/>
          <w:sz w:val="18"/>
          <w:szCs w:val="18"/>
        </w:rPr>
        <w:t xml:space="preserve">Squelette d'exemple secteur "Transport scolaire / sanitaire / TPMR". L'entité "Société Exemple Transport", le SIREN, l'acheteur et les références sont des données inventées à des fins d'illustration. Le dossier réellement généré sur votre AO sera entièrement personnalisé à partir du DCE chargé et de votre mémoire d'entreprise.</w:t>
      </w:r>
    </w:p>
    <w:p>
      <w:pPr>
        <w:pStyle w:val="Heading1"/>
        <w:spacing w:after="200" w:before="400"/>
      </w:pPr>
      <w:r>
        <w:rPr>
          <w:b/>
          <w:bCs/>
          <w:color w:val="d97706"/>
        </w:rPr>
        <w:t xml:space="preserve">Identification du candidat (exemple fictif)</w:t>
      </w:r>
    </w:p>
    <w:p>
      <w:pPr>
        <w:spacing w:after="200"/>
      </w:pPr>
      <w:r>
        <w:t xml:space="preserve">Raison sociale : Société Exemple Transport</w:t>
      </w:r>
    </w:p>
    <w:p>
      <w:pPr>
        <w:spacing w:after="200"/>
      </w:pPr>
      <w:r>
        <w:t xml:space="preserve">SIREN : 673 891 245 (SIREN d'exemple)</w:t>
      </w:r>
    </w:p>
    <w:p>
      <w:pPr>
        <w:spacing w:after="200"/>
      </w:pPr>
      <w:r>
        <w:t xml:space="preserve">Code NAF : 49.39A</w:t>
      </w:r>
    </w:p>
    <w:p>
      <w:pPr>
        <w:spacing w:after="200"/>
      </w:pPr>
      <w:r>
        <w:t xml:space="preserve">Effectif : 22 ETP</w:t>
      </w:r>
    </w:p>
    <w:p>
      <w:pPr>
        <w:spacing w:after="200"/>
      </w:pPr>
      <w:r>
        <w:t xml:space="preserve">Capacités principales : Transport scolaire, Transport de voyageurs occasionnel, TPMR (transport adapté).</w:t>
      </w:r>
    </w:p>
    <w:p>
      <w:pPr>
        <w:spacing w:after="200"/>
      </w:pPr>
      <w:r>
        <w:t xml:space="preserve">Pouvoir adjudicateur : Communauté de communes type — exemple fictif</w:t>
      </w:r>
    </w:p>
    <w:p>
      <w:pPr>
        <w:spacing w:after="200"/>
      </w:pPr>
      <w:r>
        <w:t xml:space="preserve">Procédure : Procédure formalisée</w:t>
      </w:r>
    </w:p>
    <w:p>
      <w:pPr>
        <w:spacing w:after="200"/>
      </w:pPr>
      <w:r>
        <w:t xml:space="preserve">Budget estimé : 280 000 € HT</w:t>
      </w:r>
    </w:p>
    <w:p>
      <w:pPr>
        <w:spacing w:after="200"/>
      </w:pPr>
      <w:r>
        <w:t xml:space="preserve">Date limite de remise : 30/08/2026</w:t>
      </w:r>
    </w:p>
    <w:p>
      <w:pPr>
        <w:pStyle w:val="Heading1"/>
        <w:spacing w:after="200" w:before="400"/>
      </w:pPr>
      <w:r>
        <w:rPr>
          <w:b/>
          <w:bCs/>
          <w:color w:val="d97706"/>
        </w:rPr>
        <w:t xml:space="preserve">1. Présentation du candidat</w:t>
      </w:r>
    </w:p>
    <w:p>
      <w:pPr>
        <w:spacing w:after="200"/>
      </w:pPr>
      <w:r>
        <w:t xml:space="preserve">Société Exemple Transport, SARL au capital de 75 000 €, est un transporteur public routier de personnes inscrit au registre des transporteurs publics routiers tenu par la DREAL (préfecture de région), titulaire de la licence communautaire de transport intérieur (LTI) et de la licence de transport intérieur (LTV) pour véhicules ≤ 9 places. Effectif 22 ETP, dont 17 conducteurs en CDI, 2 mécaniciens, 1 responsable d'exploitation, 1 responsable QSE / réglementation et 1 fonction administrative.</w:t>
      </w:r>
    </w:p>
    <w:p>
      <w:pPr>
        <w:spacing w:after="200"/>
      </w:pPr>
      <w:r>
        <w:t xml:space="preserve">Notre activité s'inscrit dans le cadre du Code des transports (notamment art. L3111-1 et suivants pour les services réguliers de transport public de personnes). La capacité professionnelle de transport est attestée pour la dirigeante.</w:t>
      </w:r>
    </w:p>
    <w:p>
      <w:pPr>
        <w:pStyle w:val="Heading1"/>
        <w:spacing w:after="200" w:before="400"/>
      </w:pPr>
      <w:r>
        <w:rPr>
          <w:b/>
          <w:bCs/>
          <w:color w:val="d97706"/>
        </w:rPr>
        <w:t xml:space="preserve">2. Compréhension du besoin</w:t>
      </w:r>
    </w:p>
    <w:p>
      <w:pPr>
        <w:spacing w:after="200"/>
      </w:pPr>
      <w:r>
        <w:t xml:space="preserve">Le marché porte sur l'exploitation de 8 lignes régulières de transport scolaire desservant 14 communes de l'EPCI sur un périmètre rural, environ 720 km / jour cumulés, sur la base d'un calendrier scolaire (140 jours / an environ), pour une durée de 4 ans. Le parc nécessaire est estimé à 8 autocars classe II, avec véhicules de réserve mutualisés.</w:t>
      </w:r>
    </w:p>
    <w:p>
      <w:pPr>
        <w:spacing w:after="200"/>
      </w:pPr>
      <w:r>
        <w:t xml:space="preserve">Enjeux identifiés :</w:t>
      </w:r>
    </w:p>
    <w:p>
      <w:pPr>
        <w:spacing w:after="200"/>
      </w:pPr>
      <w:r>
        <w:t xml:space="preserve">• ponctualité critique aux horaires d'entrée / sortie scolaires (tolérance ≤ 5 min) ;</w:t>
      </w:r>
    </w:p>
    <w:p>
      <w:pPr>
        <w:spacing w:after="200"/>
      </w:pPr>
      <w:r>
        <w:t xml:space="preserve">• sécurité des élèves transportés : ceintures, accompagnement, comportement à bord ;</w:t>
      </w:r>
    </w:p>
    <w:p>
      <w:pPr>
        <w:spacing w:after="200"/>
      </w:pPr>
      <w:r>
        <w:t xml:space="preserve">• accessibilité TPMR sur les lignes desservant les regroupements pédagogiques accueillant des élèves en situation de handicap.</w:t>
      </w:r>
    </w:p>
    <w:p>
      <w:pPr>
        <w:pStyle w:val="Heading1"/>
        <w:spacing w:after="200" w:before="400"/>
      </w:pPr>
      <w:r>
        <w:rPr>
          <w:b/>
          <w:bCs/>
          <w:color w:val="d97706"/>
        </w:rPr>
        <w:t xml:space="preserve">3. Méthodologie d'exploitation</w:t>
      </w:r>
    </w:p>
    <w:p>
      <w:pPr>
        <w:spacing w:after="200"/>
      </w:pPr>
      <w:r>
        <w:t xml:space="preserve">Le service est exploité conformément à l'arrêté du 2 juillet 1982 relatif aux transports en commun de personnes (équipements, signalisation des cars scolaires, conduite à tenir en cas d'incident). Les conducteurs disposent d'une feuille de route quotidienne, d'une fiche de circuit horodatée et d'une fiche d'incident standardisée transmise sous 2 h ouvrées à l'exploitation et au pouvoir adjudicateur.</w:t>
      </w:r>
    </w:p>
    <w:p>
      <w:pPr>
        <w:spacing w:after="200"/>
      </w:pPr>
      <w:r>
        <w:t xml:space="preserve">Procédures de sécurité : exercice annuel d'évacuation autocar avec chaque école desservie, contrôle visuel quotidien (pneus, ceintures, issues de secours, marteaux brise-vitre, extincteurs), contrôle trimestriel approfondi par l'atelier interne. Tous les véhicules dédiés satisfont aux exigences de la réglementation ECE R66 (résistance de la superstructure des autocars au retournement).</w:t>
      </w:r>
    </w:p>
    <w:p>
      <w:pPr>
        <w:pStyle w:val="Heading1"/>
        <w:spacing w:after="200" w:before="400"/>
      </w:pPr>
      <w:r>
        <w:rPr>
          <w:b/>
          <w:bCs/>
          <w:color w:val="d97706"/>
        </w:rPr>
        <w:t xml:space="preserve">4. Moyens humains et matériels</w:t>
      </w:r>
    </w:p>
    <w:p>
      <w:pPr>
        <w:spacing w:after="200"/>
      </w:pPr>
      <w:r>
        <w:t xml:space="preserve">Équipe dédiée : 1 responsable d'exploitation (référent unique du pouvoir adjudicateur), 8 conducteurs titulaires + 2 conducteurs de réserve. Tous titulaires du permis D, de la FIMO voyageurs et à jour de la FCO (formation continue obligatoire quinquennale). Cartes conducteur chronotachygraphe en cours de validité, contrôlées mensuellement.</w:t>
      </w:r>
    </w:p>
    <w:p>
      <w:pPr>
        <w:spacing w:after="200"/>
      </w:pPr>
      <w:r>
        <w:t xml:space="preserve">Parc dédié : 8 autocars classe II âgés en moyenne de 4 ans, équipés ceintures 3 points toutes places, éthylotest anti-démarrage (EAD), géolocalisation embarquée. Sur les lignes concernées, 2 véhicules disposent d'une rampe d'accès et d'emplacements UFR avec attestation de conformité TPMR. Atelier interne de maintenance préventive.</w:t>
      </w:r>
    </w:p>
    <w:p>
      <w:pPr>
        <w:pStyle w:val="Heading1"/>
        <w:spacing w:after="200" w:before="400"/>
      </w:pPr>
      <w:r>
        <w:rPr>
          <w:b/>
          <w:bCs/>
          <w:color w:val="d97706"/>
        </w:rPr>
        <w:t xml:space="preserve">5. Sécurité et conformité réglementaire</w:t>
      </w:r>
    </w:p>
    <w:p>
      <w:pPr>
        <w:spacing w:after="200"/>
      </w:pPr>
      <w:r>
        <w:t xml:space="preserve">Le suivi de l'aptitude médicale des conducteurs (art. R221-10 et suivants du Code de la route) est centralisé : visite préfectorale tous les 5 ans avant 60 ans, tous les 2 ans après. Suivi RH formalisé via un tableau de bord conformité dont chaque dépassement bloque l'affectation à un service.</w:t>
      </w:r>
    </w:p>
    <w:p>
      <w:pPr>
        <w:spacing w:after="200"/>
      </w:pPr>
      <w:r>
        <w:t xml:space="preserve">Temps de conduite et de repos suivis via chronotachygraphe numérique conformément au règlement (UE) n° 165/2014 et au règlement (CE) n° 561/2006. Données téléchargées tous les 28 jours pour les cartes conducteur, 90 jours pour les unités embarquées, archivées 1 an. Aucune dérogation aux temps de conduite n'est tolérée.</w:t>
      </w:r>
    </w:p>
    <w:p>
      <w:pPr>
        <w:pStyle w:val="Heading1"/>
        <w:spacing w:after="200" w:before="400"/>
      </w:pPr>
      <w:r>
        <w:rPr>
          <w:b/>
          <w:bCs/>
          <w:color w:val="d97706"/>
        </w:rPr>
        <w:t xml:space="preserve">6. Engagements de service</w:t>
      </w:r>
    </w:p>
    <w:p>
      <w:pPr>
        <w:spacing w:after="200"/>
      </w:pPr>
      <w:r>
        <w:t xml:space="preserve">• Ponctualité : taux d'arrivée à l'heure ≥ 98 % par trimestre (mesuré via géolocalisation embarquée).</w:t>
      </w:r>
    </w:p>
    <w:p>
      <w:pPr>
        <w:spacing w:after="200"/>
      </w:pPr>
      <w:r>
        <w:t xml:space="preserve">• Continuité : véhicule de remplacement sous 45 min en cas d'avarie technique, conducteur de réserve mobilisable sous 30 min en cas d'absence imprévue.</w:t>
      </w:r>
    </w:p>
    <w:p>
      <w:pPr>
        <w:spacing w:after="200"/>
      </w:pPr>
      <w:r>
        <w:t xml:space="preserve">• Information famille / établissement : ligne dédiée 6h30-19h, SMS automatique en cas de perturbation &gt; 10 min.</w:t>
      </w:r>
    </w:p>
    <w:p>
      <w:pPr>
        <w:spacing w:after="200"/>
      </w:pPr>
      <w:r>
        <w:t xml:space="preserve">• Reporting : rapport mensuel kilométrique, ponctualité, incidents ; bilan annuel devant l'autorité organisatrice.</w:t>
      </w:r>
    </w:p>
    <w:p>
      <w:pPr>
        <w:spacing w:after="200"/>
      </w:pPr>
      <w:r>
        <w:t xml:space="preserve">• Assurances : RC professionnelle voyageurs adaptée aux véhicules ≥ 9 places.</w:t>
      </w:r>
    </w:p>
    <w:p>
      <w:pPr>
        <w:pStyle w:val="Heading1"/>
        <w:spacing w:after="200" w:before="400"/>
      </w:pPr>
      <w:r>
        <w:rPr>
          <w:b/>
          <w:bCs/>
          <w:color w:val="d97706"/>
        </w:rPr>
        <w:t xml:space="preserve">7. Références (exemples structurels)</w:t>
      </w:r>
    </w:p>
    <w:p>
      <w:pPr>
        <w:spacing w:after="200"/>
      </w:pPr>
      <w:r>
        <w:t xml:space="preserve">Les références ci-dessous sont des exemples fictifs structurels — votre dossier réel intégrera vos vraies références (vérifiables au sens art. R2152-7 CCP) issues de votre mémoire d'entreprise indexée :</w:t>
      </w:r>
    </w:p>
    <w:p>
      <w:pPr>
        <w:spacing w:after="200"/>
      </w:pPr>
      <w:r>
        <w:t xml:space="preserve">• [À renseigner — vraie autorité organisatrice de la mobilité] — Transport scolaire 6 lignes — [Montant HT annuel] — [Date début] — En cours.</w:t>
      </w:r>
    </w:p>
    <w:p>
      <w:pPr>
        <w:spacing w:after="200"/>
      </w:pPr>
      <w:r>
        <w:t xml:space="preserve">• [À renseigner — vrai département] — Transport TPMR adapté — [Montant HT annuel] — [Date] — Marché renouvelé.</w:t>
      </w:r>
    </w:p>
    <w:p>
      <w:pPr>
        <w:pStyle w:val="Heading1"/>
        <w:spacing w:after="200" w:before="600"/>
        <w:jc w:val="center"/>
      </w:pPr>
      <w:r>
        <w:rPr>
          <w:b/>
          <w:bCs/>
          <w:color w:val="d97706"/>
        </w:rPr>
        <w:t xml:space="preserve">ANNEXES</w:t>
      </w:r>
    </w:p>
    <w:p>
      <w:pPr>
        <w:spacing w:after="400"/>
        <w:jc w:val="center"/>
      </w:pPr>
      <w:r>
        <w:rPr>
          <w:i/>
          <w:iCs/>
          <w:color w:val="8b8b8b"/>
          <w:sz w:val="18"/>
          <w:szCs w:val="18"/>
        </w:rPr>
        <w:t xml:space="preserve">Pièces jointes structurées — exemple fictif sur la base d'un AO type</w:t>
      </w:r>
    </w:p>
    <w:p>
      <w:pPr>
        <w:pStyle w:val="Heading1"/>
        <w:spacing w:after="200" w:before="400"/>
      </w:pPr>
      <w:r>
        <w:rPr>
          <w:b/>
          <w:bCs/>
          <w:color w:val="d97706"/>
        </w:rPr>
        <w:t xml:space="preserve">Annexe D — CV synthétiques de l'équipe (anonymisés)</w:t>
      </w:r>
    </w:p>
    <w:tbl>
      <w:tblPr>
        <w:tblW w:type="pct" w:w="100%"/>
        <w:tblBorders>
          <w:top w:val="single" w:color="d97706" w:sz="4"/>
          <w:left w:val="single" w:color="e5e5e5" w:sz="2"/>
          <w:bottom w:val="single" w:color="d97706" w:sz="4"/>
          <w:right w:val="single" w:color="e5e5e5" w:sz="2"/>
          <w:insideH w:val="single" w:color="e5e5e5" w:sz="2"/>
          <w:insideV w:val="single" w:color="e5e5e5" w:sz="2"/>
        </w:tblBorders>
      </w:tblPr>
      <w:tblGrid>
        <w:gridCol w:w="100"/>
        <w:gridCol w:w="100"/>
        <w:gridCol w:w="100"/>
        <w:gridCol w:w="100"/>
      </w:tblGrid>
      <w:tr>
        <w:trPr>
          <w:tblHeader/>
        </w:trPr>
        <w:tc>
          <w:tcPr>
            <w:shd w:fill="FFF7E6" w:color="auto"/>
          </w:tcPr>
          <w:p>
            <w:pPr>
              <w:spacing w:after="80" w:before="80"/>
            </w:pPr>
            <w:r>
              <w:rPr>
                <w:b/>
                <w:bCs/>
                <w:color w:val="92400e"/>
                <w:sz w:val="20"/>
                <w:szCs w:val="20"/>
              </w:rPr>
              <w:t xml:space="preserve">Profil</w:t>
            </w:r>
          </w:p>
        </w:tc>
        <w:tc>
          <w:tcPr>
            <w:shd w:fill="FFF7E6" w:color="auto"/>
          </w:tcPr>
          <w:p>
            <w:pPr>
              <w:spacing w:after="80" w:before="80"/>
            </w:pPr>
            <w:r>
              <w:rPr>
                <w:b/>
                <w:bCs/>
                <w:color w:val="92400e"/>
                <w:sz w:val="20"/>
                <w:szCs w:val="20"/>
              </w:rPr>
              <w:t xml:space="preserve">Rôle</w:t>
            </w:r>
          </w:p>
        </w:tc>
        <w:tc>
          <w:tcPr>
            <w:shd w:fill="FFF7E6" w:color="auto"/>
          </w:tcPr>
          <w:p>
            <w:pPr>
              <w:spacing w:after="80" w:before="80"/>
            </w:pPr>
            <w:r>
              <w:rPr>
                <w:b/>
                <w:bCs/>
                <w:color w:val="92400e"/>
                <w:sz w:val="20"/>
                <w:szCs w:val="20"/>
              </w:rPr>
              <w:t xml:space="preserve">Expérience</w:t>
            </w:r>
          </w:p>
        </w:tc>
        <w:tc>
          <w:tcPr>
            <w:shd w:fill="FFF7E6" w:color="auto"/>
          </w:tcPr>
          <w:p>
            <w:pPr>
              <w:spacing w:after="80" w:before="80"/>
            </w:pPr>
            <w:r>
              <w:rPr>
                <w:b/>
                <w:bCs/>
                <w:color w:val="92400e"/>
                <w:sz w:val="20"/>
                <w:szCs w:val="20"/>
              </w:rPr>
              <w:t xml:space="preserve">Qualifications / habilitations</w:t>
            </w:r>
          </w:p>
        </w:tc>
      </w:tr>
      <w:tr>
        <w:tc>
          <w:p>
            <w:pPr>
              <w:spacing w:after="60" w:before="60"/>
            </w:pPr>
            <w:r>
              <w:rPr>
                <w:sz w:val="18"/>
                <w:szCs w:val="18"/>
              </w:rPr>
              <w:t xml:space="preserve">[Responsable d'exploitation — initiales]</w:t>
            </w:r>
          </w:p>
        </w:tc>
        <w:tc>
          <w:p>
            <w:pPr>
              <w:spacing w:after="60" w:before="60"/>
            </w:pPr>
            <w:r>
              <w:rPr>
                <w:sz w:val="18"/>
                <w:szCs w:val="18"/>
              </w:rPr>
              <w:t xml:space="preserve">Responsable d'exploitation</w:t>
            </w:r>
          </w:p>
        </w:tc>
        <w:tc>
          <w:p>
            <w:pPr>
              <w:spacing w:after="60" w:before="60"/>
            </w:pPr>
            <w:r>
              <w:rPr>
                <w:sz w:val="18"/>
                <w:szCs w:val="18"/>
              </w:rPr>
              <w:t xml:space="preserve">12 ans transport voyageurs, dont 7 scolaire</w:t>
            </w:r>
          </w:p>
        </w:tc>
        <w:tc>
          <w:p>
            <w:pPr>
              <w:spacing w:after="60" w:before="60"/>
            </w:pPr>
            <w:r>
              <w:rPr>
                <w:sz w:val="18"/>
                <w:szCs w:val="18"/>
              </w:rPr>
              <w:t xml:space="preserve">Capacité professionnelle transport, permis D + FIMO/FCO à jour</w:t>
            </w:r>
          </w:p>
        </w:tc>
      </w:tr>
      <w:tr>
        <w:tc>
          <w:p>
            <w:pPr>
              <w:spacing w:after="60" w:before="60"/>
            </w:pPr>
            <w:r>
              <w:rPr>
                <w:sz w:val="18"/>
                <w:szCs w:val="18"/>
              </w:rPr>
              <w:t xml:space="preserve">[Conducteur A]</w:t>
            </w:r>
          </w:p>
        </w:tc>
        <w:tc>
          <w:p>
            <w:pPr>
              <w:spacing w:after="60" w:before="60"/>
            </w:pPr>
            <w:r>
              <w:rPr>
                <w:sz w:val="18"/>
                <w:szCs w:val="18"/>
              </w:rPr>
              <w:t xml:space="preserve">Conducteur autocar scolaire</w:t>
            </w:r>
          </w:p>
        </w:tc>
        <w:tc>
          <w:p>
            <w:pPr>
              <w:spacing w:after="60" w:before="60"/>
            </w:pPr>
            <w:r>
              <w:rPr>
                <w:sz w:val="18"/>
                <w:szCs w:val="18"/>
              </w:rPr>
              <w:t xml:space="preserve">9 ans transport scolaire</w:t>
            </w:r>
          </w:p>
        </w:tc>
        <w:tc>
          <w:p>
            <w:pPr>
              <w:spacing w:after="60" w:before="60"/>
            </w:pPr>
            <w:r>
              <w:rPr>
                <w:sz w:val="18"/>
                <w:szCs w:val="18"/>
              </w:rPr>
              <w:t xml:space="preserve">Permis D, FIMO + FCO à jour, AFGSU 1</w:t>
            </w:r>
          </w:p>
        </w:tc>
      </w:tr>
      <w:tr>
        <w:tc>
          <w:p>
            <w:pPr>
              <w:spacing w:after="60" w:before="60"/>
            </w:pPr>
            <w:r>
              <w:rPr>
                <w:sz w:val="18"/>
                <w:szCs w:val="18"/>
              </w:rPr>
              <w:t xml:space="preserve">[Conducteur B]</w:t>
            </w:r>
          </w:p>
        </w:tc>
        <w:tc>
          <w:p>
            <w:pPr>
              <w:spacing w:after="60" w:before="60"/>
            </w:pPr>
            <w:r>
              <w:rPr>
                <w:sz w:val="18"/>
                <w:szCs w:val="18"/>
              </w:rPr>
              <w:t xml:space="preserve">Conducteur TPMR / scolaire</w:t>
            </w:r>
          </w:p>
        </w:tc>
        <w:tc>
          <w:p>
            <w:pPr>
              <w:spacing w:after="60" w:before="60"/>
            </w:pPr>
            <w:r>
              <w:rPr>
                <w:sz w:val="18"/>
                <w:szCs w:val="18"/>
              </w:rPr>
              <w:t xml:space="preserve">6 ans, dont 3 TPMR</w:t>
            </w:r>
          </w:p>
        </w:tc>
        <w:tc>
          <w:p>
            <w:pPr>
              <w:spacing w:after="60" w:before="60"/>
            </w:pPr>
            <w:r>
              <w:rPr>
                <w:sz w:val="18"/>
                <w:szCs w:val="18"/>
              </w:rPr>
              <w:t xml:space="preserve">Permis D, FIMO + FCO à jour, formation accueil personnes en situation de handicap</w:t>
            </w:r>
          </w:p>
        </w:tc>
      </w:tr>
      <w:tr>
        <w:tc>
          <w:p>
            <w:pPr>
              <w:spacing w:after="60" w:before="60"/>
            </w:pPr>
            <w:r>
              <w:rPr>
                <w:sz w:val="18"/>
                <w:szCs w:val="18"/>
              </w:rPr>
              <w:t xml:space="preserve">[Mécanicien atelier]</w:t>
            </w:r>
          </w:p>
        </w:tc>
        <w:tc>
          <w:p>
            <w:pPr>
              <w:spacing w:after="60" w:before="60"/>
            </w:pPr>
            <w:r>
              <w:rPr>
                <w:sz w:val="18"/>
                <w:szCs w:val="18"/>
              </w:rPr>
              <w:t xml:space="preserve">Mécanicien poids lourd / cars</w:t>
            </w:r>
          </w:p>
        </w:tc>
        <w:tc>
          <w:p>
            <w:pPr>
              <w:spacing w:after="60" w:before="60"/>
            </w:pPr>
            <w:r>
              <w:rPr>
                <w:sz w:val="18"/>
                <w:szCs w:val="18"/>
              </w:rPr>
              <w:t xml:space="preserve">11 ans, ateliers concessionnaires car</w:t>
            </w:r>
          </w:p>
        </w:tc>
        <w:tc>
          <w:p>
            <w:pPr>
              <w:spacing w:after="60" w:before="60"/>
            </w:pPr>
            <w:r>
              <w:rPr>
                <w:sz w:val="18"/>
                <w:szCs w:val="18"/>
              </w:rPr>
              <w:t xml:space="preserve">CAP/BEP maintenance véhicules industriels, habilitation B1V</w:t>
            </w:r>
          </w:p>
        </w:tc>
      </w:tr>
      <w:tr>
        <w:tc>
          <w:p>
            <w:pPr>
              <w:spacing w:after="60" w:before="60"/>
            </w:pPr>
            <w:r>
              <w:rPr>
                <w:sz w:val="18"/>
                <w:szCs w:val="18"/>
              </w:rPr>
              <w:t xml:space="preserve">[Responsable QSE]</w:t>
            </w:r>
          </w:p>
        </w:tc>
        <w:tc>
          <w:p>
            <w:pPr>
              <w:spacing w:after="60" w:before="60"/>
            </w:pPr>
            <w:r>
              <w:rPr>
                <w:sz w:val="18"/>
                <w:szCs w:val="18"/>
              </w:rPr>
              <w:t xml:space="preserve">Responsable QSE / réglementation transport</w:t>
            </w:r>
          </w:p>
        </w:tc>
        <w:tc>
          <w:p>
            <w:pPr>
              <w:spacing w:after="60" w:before="60"/>
            </w:pPr>
            <w:r>
              <w:rPr>
                <w:sz w:val="18"/>
                <w:szCs w:val="18"/>
              </w:rPr>
              <w:t xml:space="preserve">8 ans, ex-contrôleur DREAL</w:t>
            </w:r>
          </w:p>
        </w:tc>
        <w:tc>
          <w:p>
            <w:pPr>
              <w:spacing w:after="60" w:before="60"/>
            </w:pPr>
            <w:r>
              <w:rPr>
                <w:sz w:val="18"/>
                <w:szCs w:val="18"/>
              </w:rPr>
              <w:t xml:space="preserve">Bac+3 transport-logistique, auditeur interne sécurité</w:t>
            </w:r>
          </w:p>
        </w:tc>
      </w:tr>
    </w:tbl>
    <w:p>
      <w:pPr>
        <w:spacing w:after="200" w:before="120"/>
      </w:pPr>
      <w:r>
        <w:rPr>
          <w:i/>
          <w:iCs/>
          <w:color w:val="8b8b8b"/>
          <w:sz w:val="18"/>
          <w:szCs w:val="18"/>
        </w:rPr>
        <w:t xml:space="preserve">Les CV nominatifs complets seront joints à la candidature. Les noms ont été anonymisés à des fins d'exemple.</w:t>
      </w:r>
    </w:p>
    <w:p>
      <w:pPr>
        <w:pStyle w:val="Heading1"/>
        <w:spacing w:after="200" w:before="400"/>
      </w:pPr>
      <w:r>
        <w:rPr>
          <w:b/>
          <w:bCs/>
          <w:color w:val="d97706"/>
        </w:rPr>
        <w:t xml:space="preserve">Annexe E — Références récentes (placeholders à personnaliser)</w:t>
      </w:r>
    </w:p>
    <w:p>
      <w:pPr>
        <w:spacing w:after="200"/>
      </w:pPr>
      <w:r>
        <w:rPr>
          <w:i/>
          <w:iCs/>
          <w:color w:val="8b8b8b"/>
          <w:sz w:val="18"/>
          <w:szCs w:val="18"/>
        </w:rPr>
        <w:t xml:space="preserve">Tableau-type — votre vrai dossier intègrera vos références issues de la mémoire d'entreprise indexée dans Opportunix, vérifiables au sens de l'art. R2152-7 CCP.</w:t>
      </w:r>
    </w:p>
    <w:tbl>
      <w:tblPr>
        <w:tblW w:type="pct" w:w="100%"/>
        <w:tblBorders>
          <w:top w:val="single" w:color="d97706" w:sz="4"/>
          <w:left w:val="single" w:color="e5e5e5" w:sz="2"/>
          <w:bottom w:val="single" w:color="d97706" w:sz="4"/>
          <w:right w:val="single" w:color="e5e5e5" w:sz="2"/>
          <w:insideH w:val="single" w:color="e5e5e5" w:sz="2"/>
          <w:insideV w:val="single" w:color="e5e5e5" w:sz="2"/>
        </w:tblBorders>
      </w:tblPr>
      <w:tblGrid>
        <w:gridCol w:w="100"/>
        <w:gridCol w:w="100"/>
        <w:gridCol w:w="100"/>
        <w:gridCol w:w="100"/>
        <w:gridCol w:w="100"/>
      </w:tblGrid>
      <w:tr>
        <w:trPr>
          <w:tblHeader/>
        </w:trPr>
        <w:tc>
          <w:tcPr>
            <w:shd w:fill="FFF7E6" w:color="auto"/>
          </w:tcPr>
          <w:p>
            <w:pPr>
              <w:spacing w:after="80" w:before="80"/>
            </w:pPr>
            <w:r>
              <w:rPr>
                <w:b/>
                <w:bCs/>
                <w:color w:val="92400e"/>
                <w:sz w:val="20"/>
                <w:szCs w:val="20"/>
              </w:rPr>
              <w:t xml:space="preserve">Pouvoir adjudicateur</w:t>
            </w:r>
          </w:p>
        </w:tc>
        <w:tc>
          <w:tcPr>
            <w:shd w:fill="FFF7E6" w:color="auto"/>
          </w:tcPr>
          <w:p>
            <w:pPr>
              <w:spacing w:after="80" w:before="80"/>
            </w:pPr>
            <w:r>
              <w:rPr>
                <w:b/>
                <w:bCs/>
                <w:color w:val="92400e"/>
                <w:sz w:val="20"/>
                <w:szCs w:val="20"/>
              </w:rPr>
              <w:t xml:space="preserve">Objet du marché</w:t>
            </w:r>
          </w:p>
        </w:tc>
        <w:tc>
          <w:tcPr>
            <w:shd w:fill="FFF7E6" w:color="auto"/>
          </w:tcPr>
          <w:p>
            <w:pPr>
              <w:spacing w:after="80" w:before="80"/>
            </w:pPr>
            <w:r>
              <w:rPr>
                <w:b/>
                <w:bCs/>
                <w:color w:val="92400e"/>
                <w:sz w:val="20"/>
                <w:szCs w:val="20"/>
              </w:rPr>
              <w:t xml:space="preserve">Montant HT</w:t>
            </w:r>
          </w:p>
        </w:tc>
        <w:tc>
          <w:tcPr>
            <w:shd w:fill="FFF7E6" w:color="auto"/>
          </w:tcPr>
          <w:p>
            <w:pPr>
              <w:spacing w:after="80" w:before="80"/>
            </w:pPr>
            <w:r>
              <w:rPr>
                <w:b/>
                <w:bCs/>
                <w:color w:val="92400e"/>
                <w:sz w:val="20"/>
                <w:szCs w:val="20"/>
              </w:rPr>
              <w:t xml:space="preserve">Année</w:t>
            </w:r>
          </w:p>
        </w:tc>
        <w:tc>
          <w:tcPr>
            <w:shd w:fill="FFF7E6" w:color="auto"/>
          </w:tcPr>
          <w:p>
            <w:pPr>
              <w:spacing w:after="80" w:before="80"/>
            </w:pPr>
            <w:r>
              <w:rPr>
                <w:b/>
                <w:bCs/>
                <w:color w:val="92400e"/>
                <w:sz w:val="20"/>
                <w:szCs w:val="20"/>
              </w:rPr>
              <w:t xml:space="preserve">Statut</w:t>
            </w:r>
          </w:p>
        </w:tc>
      </w:tr>
      <w:tr>
        <w:tc>
          <w:p>
            <w:pPr>
              <w:spacing w:after="60" w:before="60"/>
            </w:pPr>
            <w:r>
              <w:rPr>
                <w:sz w:val="18"/>
                <w:szCs w:val="18"/>
              </w:rPr>
              <w:t xml:space="preserve">[À renseigner — vraie AOM / EPCI]</w:t>
            </w:r>
          </w:p>
        </w:tc>
        <w:tc>
          <w:p>
            <w:pPr>
              <w:spacing w:after="60" w:before="60"/>
            </w:pPr>
            <w:r>
              <w:rPr>
                <w:sz w:val="18"/>
                <w:szCs w:val="18"/>
              </w:rPr>
              <w:t xml:space="preserve">[Transport scolaire 6 lignes — 12 communes]</w:t>
            </w:r>
          </w:p>
        </w:tc>
        <w:tc>
          <w:p>
            <w:pPr>
              <w:spacing w:after="60" w:before="60"/>
            </w:pPr>
            <w:r>
              <w:rPr>
                <w:sz w:val="18"/>
                <w:szCs w:val="18"/>
              </w:rPr>
              <w:t xml:space="preserve">[≈ 220 k€/an HT]</w:t>
            </w:r>
          </w:p>
        </w:tc>
        <w:tc>
          <w:p>
            <w:pPr>
              <w:spacing w:after="60" w:before="60"/>
            </w:pPr>
            <w:r>
              <w:rPr>
                <w:sz w:val="18"/>
                <w:szCs w:val="18"/>
              </w:rPr>
              <w:t xml:space="preserve">[2023]</w:t>
            </w:r>
          </w:p>
        </w:tc>
        <w:tc>
          <w:p>
            <w:pPr>
              <w:spacing w:after="60" w:before="60"/>
            </w:pPr>
            <w:r>
              <w:rPr>
                <w:sz w:val="18"/>
                <w:szCs w:val="18"/>
              </w:rPr>
              <w:t xml:space="preserve">En cours, marché 4 ans</w:t>
            </w:r>
          </w:p>
        </w:tc>
      </w:tr>
      <w:tr>
        <w:tc>
          <w:p>
            <w:pPr>
              <w:spacing w:after="60" w:before="60"/>
            </w:pPr>
            <w:r>
              <w:rPr>
                <w:sz w:val="18"/>
                <w:szCs w:val="18"/>
              </w:rPr>
              <w:t xml:space="preserve">[À renseigner — vrai département]</w:t>
            </w:r>
          </w:p>
        </w:tc>
        <w:tc>
          <w:p>
            <w:pPr>
              <w:spacing w:after="60" w:before="60"/>
            </w:pPr>
            <w:r>
              <w:rPr>
                <w:sz w:val="18"/>
                <w:szCs w:val="18"/>
              </w:rPr>
              <w:t xml:space="preserve">[Transport adapté TPMR vers IME]</w:t>
            </w:r>
          </w:p>
        </w:tc>
        <w:tc>
          <w:p>
            <w:pPr>
              <w:spacing w:after="60" w:before="60"/>
            </w:pPr>
            <w:r>
              <w:rPr>
                <w:sz w:val="18"/>
                <w:szCs w:val="18"/>
              </w:rPr>
              <w:t xml:space="preserve">[≈ 95 k€/an HT]</w:t>
            </w:r>
          </w:p>
        </w:tc>
        <w:tc>
          <w:p>
            <w:pPr>
              <w:spacing w:after="60" w:before="60"/>
            </w:pPr>
            <w:r>
              <w:rPr>
                <w:sz w:val="18"/>
                <w:szCs w:val="18"/>
              </w:rPr>
              <w:t xml:space="preserve">[2024]</w:t>
            </w:r>
          </w:p>
        </w:tc>
        <w:tc>
          <w:p>
            <w:pPr>
              <w:spacing w:after="60" w:before="60"/>
            </w:pPr>
            <w:r>
              <w:rPr>
                <w:sz w:val="18"/>
                <w:szCs w:val="18"/>
              </w:rPr>
              <w:t xml:space="preserve">Reconduit, marché à bons de commande</w:t>
            </w:r>
          </w:p>
        </w:tc>
      </w:tr>
      <w:tr>
        <w:tc>
          <w:p>
            <w:pPr>
              <w:spacing w:after="60" w:before="60"/>
            </w:pPr>
            <w:r>
              <w:rPr>
                <w:sz w:val="18"/>
                <w:szCs w:val="18"/>
              </w:rPr>
              <w:t xml:space="preserve">[À renseigner — vraie commune]</w:t>
            </w:r>
          </w:p>
        </w:tc>
        <w:tc>
          <w:p>
            <w:pPr>
              <w:spacing w:after="60" w:before="60"/>
            </w:pPr>
            <w:r>
              <w:rPr>
                <w:sz w:val="18"/>
                <w:szCs w:val="18"/>
              </w:rPr>
              <w:t xml:space="preserve">[Transports occasionnels sorties scolaires]</w:t>
            </w:r>
          </w:p>
        </w:tc>
        <w:tc>
          <w:p>
            <w:pPr>
              <w:spacing w:after="60" w:before="60"/>
            </w:pPr>
            <w:r>
              <w:rPr>
                <w:sz w:val="18"/>
                <w:szCs w:val="18"/>
              </w:rPr>
              <w:t xml:space="preserve">[≈ 18 k€/an HT]</w:t>
            </w:r>
          </w:p>
        </w:tc>
        <w:tc>
          <w:p>
            <w:pPr>
              <w:spacing w:after="60" w:before="60"/>
            </w:pPr>
            <w:r>
              <w:rPr>
                <w:sz w:val="18"/>
                <w:szCs w:val="18"/>
              </w:rPr>
              <w:t xml:space="preserve">[2025]</w:t>
            </w:r>
          </w:p>
        </w:tc>
        <w:tc>
          <w:p>
            <w:pPr>
              <w:spacing w:after="60" w:before="60"/>
            </w:pPr>
            <w:r>
              <w:rPr>
                <w:sz w:val="18"/>
                <w:szCs w:val="18"/>
              </w:rPr>
              <w:t xml:space="preserve">Marché à bons de commande en cours</w:t>
            </w:r>
          </w:p>
        </w:tc>
      </w:tr>
    </w:tbl>
    <w:p>
      <w:pPr>
        <w:spacing w:before="800"/>
        <w:jc w:val="center"/>
      </w:pPr>
      <w:r>
        <w:rPr>
          <w:i/>
          <w:iCs/>
          <w:color w:val="8b8b8b"/>
          <w:sz w:val="18"/>
          <w:szCs w:val="18"/>
        </w:rPr>
        <w:t xml:space="preserve">── Fin de l'exemple ──</w:t>
      </w:r>
    </w:p>
    <w:p>
      <w:pPr>
        <w:spacing w:before="200"/>
        <w:jc w:val="center"/>
      </w:pPr>
      <w:r>
        <w:rPr>
          <w:i/>
          <w:iCs/>
          <w:color w:val="8b8b8b"/>
          <w:sz w:val="16"/>
          <w:szCs w:val="16"/>
        </w:rPr>
        <w:t xml:space="preserve">Votre dossier réel sera entièrement personnalisé : DCE analysé, vraies références, vrais prix, mémoire technique sourcée.</w:t>
      </w:r>
    </w:p>
    <w:p>
      <w:pPr>
        <w:spacing w:before="200"/>
        <w:jc w:val="center"/>
      </w:pPr>
      <w:r>
        <w:rPr>
          <w:b/>
          <w:bCs/>
          <w:color w:val="d97706"/>
          <w:sz w:val="16"/>
          <w:szCs w:val="16"/>
        </w:rPr>
        <w:t xml:space="preserve">Généré par Opportunix · pipeline 10 agents IA · 30 min · à partir de 19 €</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color w:val="8b8b8b"/>
        <w:sz w:val="16"/>
        <w:szCs w:val="16"/>
      </w:rPr>
      <w:t xml:space="preserve">Squelette d'exemple — non destiné à être déposé en l'état · </w:t>
    </w:r>
    <w:r>
      <w:rPr>
        <w:color w:val="8b8b8b"/>
        <w:sz w:val="16"/>
        <w:szCs w:val="16"/>
      </w:rPr>
      <w:t xml:space="preserve">Page </w:t>
    </w:r>
    <w:r>
      <w:rPr>
        <w:color w:val="8b8b8b"/>
        <w:sz w:val="16"/>
        <w:szCs w:val="16"/>
      </w:rPr>
      <w:fldChar w:fldCharType="begin"/>
      <w:instrText xml:space="preserve">PAGE</w:instrText>
      <w:fldChar w:fldCharType="separate"/>
      <w:fldChar w:fldCharType="end"/>
    </w:r>
    <w:r>
      <w:rPr>
        <w:color w:val="8b8b8b"/>
        <w:sz w:val="16"/>
        <w:szCs w:val="16"/>
      </w:rPr>
      <w:t xml:space="preserve"> / </w:t>
    </w:r>
    <w:r>
      <w:rPr>
        <w:color w:val="8b8b8b"/>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b/>
        <w:bCs/>
        <w:color w:val="d97706"/>
        <w:sz w:val="16"/>
        <w:szCs w:val="16"/>
      </w:rPr>
      <w:t xml:space="preserve">EXEMPLE — DONNÉES FICTIVES — GÉNÉRÉ PAR OPPORTUNIX (IA)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Mémoire technique (exemple fictif) — Transport scolaire 8 lignes régulières pour un EPCI rural</dc:title>
  <dc:creator>Opportunix</dc:creator>
  <dc:description>Squelette d'exemple à des fins d'illustration. Données fictives.</dc:description>
  <cp:lastModifiedBy>Un-named</cp:lastModifiedBy>
  <cp:revision>1</cp:revision>
  <dcterms:created xsi:type="dcterms:W3CDTF">2026-05-12T19:53:18.171Z</dcterms:created>
  <dcterms:modified xsi:type="dcterms:W3CDTF">2026-05-12T19:53:18.171Z</dcterms:modified>
</cp:coreProperties>
</file>

<file path=docProps/custom.xml><?xml version="1.0" encoding="utf-8"?>
<Properties xmlns="http://schemas.openxmlformats.org/officeDocument/2006/custom-properties" xmlns:vt="http://schemas.openxmlformats.org/officeDocument/2006/docPropsVTypes"/>
</file>